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WBE.2024.317 vom 25. September 2024</w:t>
      </w:r>
    </w:p>
    <w:p>
      <w:r>
        <w:t>AG Verwaltungsgericht, 2024-09-25, DE</w:t>
      </w:r>
    </w:p>
    <w:p>
      <w:r>
        <w:rPr>
          <w:b/>
        </w:rPr>
        <w:t xml:space="preserve">Quelle: </w:t>
      </w:r>
      <w:r>
        <w:t>https://mcp.opencaselaw.ch/entscheid/ag_verwaltungsgericht_WBE.2024.317</w:t>
      </w:r>
    </w:p>
    <w:p>
      <w:r>
        <w:t>FR: AG_VERWALTUNGSGERICHT WBE.2024.317 du 25 septembre 2024</w:t>
      </w:r>
    </w:p>
    <w:p>
      <w:r>
        <w:t>IT: AG_VERWALTUNGSGERICHT WBE.2024.317 del 25 settembre 2024</w:t>
      </w:r>
    </w:p>
    <w:p>
      <w:pPr>
        <w:pStyle w:val="Heading2"/>
      </w:pPr>
      <w:r>
        <w:t>Erwägungen</w:t>
      </w:r>
    </w:p>
    <w:p>
      <w:r>
        <w:rPr>
          <w:b/>
        </w:rPr>
        <w:t>E. 1</w:t>
      </w:r>
    </w:p>
    <w:p>
      <w:r>
        <w:t>Die Beschwerde wird abgewiesen.</w:t>
      </w:r>
    </w:p>
    <w:p>
      <w:r>
        <w:rPr>
          <w:b/>
        </w:rPr>
        <w:t>E. 2</w:t>
      </w:r>
    </w:p>
    <w:p>
      <w:r>
        <w:t>Einer allfälligen Beschwerde gegen diesen Entscheid wird die aufschie- bende Wirkung entzogen.</w:t>
      </w:r>
    </w:p>
    <w:p>
      <w:r>
        <w:rPr>
          <w:b/>
        </w:rPr>
        <w:t>E. 2.1</w:t>
      </w:r>
    </w:p>
    <w:p>
      <w:r>
        <w:t>Zu beurteilen ist vorab, ob die Verwaltungsgerichtsbeschwerde den formel- len Anforderungen genügt:</w:t>
      </w:r>
    </w:p>
    <w:p>
      <w:r>
        <w:rPr>
          <w:b/>
        </w:rPr>
        <w:t>E. 2.2</w:t>
      </w:r>
    </w:p>
    <w:p>
      <w:r>
        <w:t>Gemäss § 43 Abs. 2 VRPG muss die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(aVRPG) geltende Praxis kodifiziert (Botschaft des Regierungsrats des Kantons Aargau an den Grossen Rat vom 14. Februar 2007 zum Gesetz über die Verwaltungsrechtspflege [Ver- waltungsrechtspflegegesetz, VRPG], 07.27 [nachfolgend: Botschaft VRPG], S. 56 f.). Mit der Begründung ist darzulegen, in welchen Punkten nach Auffassung der beschwerdeführenden Person der angefochtene Ent- scheid Mängel aufweist (Aargauische Gerichts- und Verwaltungsent- scheide [AGVE] 2009, S. 275, Erw. 3.1; vgl. zudem Urteil des Bundesge-</w:t>
      </w:r>
    </w:p>
    <w:p>
      <w:r>
        <w:t>- 4 - richts 2C_567/2009 vom 4. März 2010, Erw. 3.3 mit Hinweisen). Fehlt ein Antrag oder eine Begründung oder beides (trotz vollständiger Rechtsmittel- belehrung) und ergibt sich der Antrag bei Laienbeschwerden auch nicht aus der Begründung, ist ohne Nachfrist auf Nichteintreten zu erkennen. Auch bei Laienbeschwerden ist eine Rücksendung zur Verbesserung ausge- schlossen, wenn in einer Rechtsmittelbelehrung einfach und verständlich auf die Erfordernisse einer Beschwerde hingewiesen wird (vgl. Bot- schaft VRPG, S. 56 f.). Bei Laienbeschwerden werden an die Begründung keine allzu hohen Anforderungen gestellt, wobei immerhin verlangt werden darf, dass die beschwerdeführende Person darlegt, weshalb sie mit dem vorinstanzlichen Entscheid nicht einverstanden ist und welche Erwägungen des angefochtenen Entscheids aus welchen Gründen nicht zutreffen sollen (AGVE 2009, S. 275, Erw. 3.1; Entscheid des Verwaltungsgerichts WBE.2023.97 vom 23. März 2023, Erw. I/2.2). In der Botschaft VRPG wird ausserdem hervorgehoben, dass (vor allem auch auf Laienbeschwerden) einzutreten ist, wenn Begründung und/oder Antrag wenigstens im Ansatz vorhanden sind, bzw. wenn die angerufene Behörde erkennen kann, wo- rum es der betreffenden Person geht und was sie will (a.a.O., S. 57).</w:t>
      </w:r>
    </w:p>
    <w:p>
      <w:r>
        <w:rPr>
          <w:b/>
        </w:rPr>
        <w:t>E. 2.3</w:t>
      </w:r>
    </w:p>
    <w:p>
      <w:r>
        <w:t>Der Beschwerdeschrift lässt sich in Bezug auf den angefochtenen Ent- scheid weder ein Antrag noch eine Begründung entnehmen. Der Be- schwerdeführer teilt lediglich mit, dass er gegen den Entscheid des DVI vom 31. Mai 2024 Beschwerde führen möchte. Er setzt sich jedoch mit kei- nem Wort mit der Argumentation des angefochtenen Entscheids auseinan- der. Seiner Beschwerde lässt sich daher nicht einmal ansatzweise entneh- men, inwiefern der vorinstanzliche Entscheid nicht rechtmässig sein soll respektive weshalb er damit nicht einverstanden ist und welche Erwägun- gen er aus welchen Gründen als unzutreffend erachtet. Der vom Beschwer- deführer gestellte Antrag auf Gewährung der unentgeltlichen Rechtspflege betrifft dabei lediglich das Verfahren vor Verwaltungsgericht. Aus diesem lässt sich jedoch nicht schliessen, wie das Verwaltungsgericht in der Streit- sache entscheiden soll. Damit vermag die Beschwerdeschrift den Begrün- dungsanforderungen gemäss § 43 Abs. 2 VRPG offensichtlich nicht zu ge- nügen. In der Rechtsmittelbelehrung des angefochtenen Entscheids wurde der Be- schwerdeführer ausdrücklich darauf aufmerksam gemacht, dass die frist- gerecht einzureichende Beschwerdeschrift einen Antrag und eine Begrün- dung enthalten müsse, d.h. dass er anzugeben habe, wie das Verwaltungs- gericht entscheiden solle, und darzulegen habe, aus welchen Gründen er eine andere Entscheidung verlange. Zudem wurde er explizit auf die Folge des Nichteintretens hingewiesen, sofern die Beschwerde diesen Anforde- rungen nicht entspreche (angefochtener Entscheid, S. 9). Damit wurden die Erfordernisse einer Beschwerde in der Rechtsmittelbelehrung des vor- instanzlichen Entscheids in leicht verständlicher Weise dargestellt. Dem</w:t>
      </w:r>
    </w:p>
    <w:p>
      <w:r>
        <w:t>- 5 - Beschwerdeführer war es somit ohne Weiteres möglich zu erkennen, wel- che Anforderungen seine Beschwerdeschrift zu erfüllen hatte. Eine zusätz- liche Nachfristansetzung zur Verbesserung der Beschwerde war daher we- der erforderlich noch in zeitlicher Hinsicht überhaupt möglich, da die Be- schwerde am letzten Tag der Rechtsmittelfrist beim Verwaltungsgericht einging. Im Übrigen hatte der Beschwerdeführer – gerade auch mit Blick auf den während den Sommergerichtsferien vom 15. Juli 2024 bis 15. Au- gust 2024 geltenden Fristenstillstand (vgl. § 28 Abs. 1 VRPG in Verbindung mit Art. 145 Abs. 1 lit. b der Schweizerischen Zivilprozessordnung vom 19. Dezember 2008 [Zivilprozessordnung, ZPO; SR 272]) – ausreichend Zeit, entweder eine den Formerfordernissen genügende Rechtsschrift ein- zureichen oder sich um eine anwaltliche Vertretung zu bemühen. Es ist nicht Aufgabe des Verwaltungsgerichts, für eine Rechtsvertretung des Be- schwerdeführers besorgt zu sein, zumal er in dieser Hinsicht nicht als un- beholfen betrachtet werden kann. 3. Da der Beschwerdeführer innert der Beschwerdefrist keine den gesetzli- chen Formerfordernissen entsprechende Beschwerdeschrift mit Antrag und Begründung eingereicht hat, kann auf seine Beschwerde gemäss § 43 Abs. 2 VRPG nicht eingetreten werden. II. 1. Bei diesem Ausgang des Verfahrens hat der Beschwerdeführer die verwal- tungsgerichtlichen Verfahrenskosten zu tragen (§ 31 Abs. 2 VRPG). Dem Umstand, dass ein Nichteintretensentscheid gefällt wird, ist mit einer redu- zierten Gerichtsgebühr Rechnung zu tragen. Eine Parteientschädigung fällt ausgangsgemäss (§ 32 Abs. 2 VRPG) und mangels anwaltlicher Vertre- tung (§ 29 VRPG) ausser Betracht. 2. Der Beschwerdeführer ersucht um Gewährung der unentgeltlichen Rechts- pflege. Diese setzt jedoch unter anderem voraus, dass die Begehren nicht aussichtslos erscheinen (§ 34 Abs. 1 VRPG). Diese Voraussetzung ist vor- liegend offensichtlich nicht erfüllt, da der Beschwerdeführer in Bezug auf den angefochtenen Entscheid trotz Kenntnis der geltenden Formerforder- nisse nicht einmal ansatzweise einen Antrag stellte und seine Beschwerde begründete. Sein Gesuch ist daher – ungeachtet der finanziellen Verhält- nisse – abzuweisen.</w:t>
      </w:r>
    </w:p>
    <w:p>
      <w:r>
        <w:t>- 6 - Das Verwaltungsgericht beschliesst und erkennt:</w:t>
      </w:r>
    </w:p>
    <w:p>
      <w:r>
        <w:rPr>
          <w:b/>
        </w:rPr>
        <w:t>E. 3</w:t>
      </w:r>
    </w:p>
    <w:p>
      <w:r>
        <w:t>Der Beschwerdeführer hat die Verfahrenskosten, bestehend aus einer Staatsgebühr von Fr. 1'000.– sowie den Kanzleikosten und den Auslagen von Fr. 201.90, zusammen Fr. 1'201.90, zu bezahlen.</w:t>
      </w:r>
    </w:p>
    <w:p>
      <w:r>
        <w:rPr>
          <w:b/>
        </w:rPr>
        <w:t>E. 4</w:t>
      </w:r>
    </w:p>
    <w:p>
      <w:r>
        <w:t>Auf das Einholen von Beschwerdeantworten wurde verzichtet (vgl. § 45 Abs. 1 des Gesetzes über die Verwaltungsrechtspflege vom 4. Dezember 2007 [Verwaltungsrechtspflegegesetz, VRPG; SAR 271.200]). Das Verwaltungsgericht hat den Fall auf dem Zirkularweg entschieden (vgl. § 7 des Gerichtsorganisationsgesetzes vom 6. Dezember 2011 [GOG; SAR 155.200]). Das Verwaltungsgericht zieht in Erwägung: I. 1. Das Verwaltungsgericht beurteilt Beschwerden gegen letztinstanzliche Ent- scheide der Verwaltungsbehörden (§ 54 Abs. 1 VRPG). Der angefochtene Entscheid des DVI ist verwaltungsintern letztinstanzlich (§ 50 Abs. 2 VRPG i.V.m. § 9 Abs. 1 und § 10 Abs. 1 lit. d der Verordnung über die Delegation von Kompetenzen des Regierungsrats vom 10. April 2013 [Delegationsver- ordnung, DelV; SAR 153.113]). Das Verwaltungsgericht ist folglich zur Be- urteilung der vorliegenden Beschwerde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