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WBE.2024.252 vom 22. September 2025</w:t>
      </w:r>
    </w:p>
    <w:p>
      <w:r>
        <w:t>AG Verwaltungsgericht, 2025-09-22, DE</w:t>
      </w:r>
    </w:p>
    <w:p>
      <w:r>
        <w:rPr>
          <w:b/>
        </w:rPr>
        <w:t xml:space="preserve">Quelle: </w:t>
      </w:r>
      <w:r>
        <w:t>https://mcp.opencaselaw.ch/entscheid/ag_verwaltungsgericht_WBE.2024.252</w:t>
      </w:r>
    </w:p>
    <w:p>
      <w:r>
        <w:t>FR: AG_VERWALTUNGSGERICHT WBE.2024.252 du 22 septembre 2025</w:t>
      </w:r>
    </w:p>
    <w:p>
      <w:r>
        <w:t>IT: AG_VERWALTUNGSGERICHT WBE.2024.252 del 22 settembre 2025</w:t>
      </w:r>
    </w:p>
    <w:p>
      <w:pPr>
        <w:pStyle w:val="Heading2"/>
      </w:pPr>
      <w:r>
        <w:t>Erwägungen</w:t>
      </w:r>
    </w:p>
    <w:p>
      <w:r>
        <w:rPr>
          <w:b/>
        </w:rPr>
        <w:t>E. 2</w:t>
      </w:r>
    </w:p>
    <w:p>
      <w:r>
        <w:t>Es werden keine Gebühren erhoben.</w:t>
      </w:r>
    </w:p>
    <w:p>
      <w:r>
        <w:rPr>
          <w:b/>
        </w:rPr>
        <w:t>E. 2.1</w:t>
      </w:r>
    </w:p>
    <w:p>
      <w:r>
        <w:t>Gemäss Art. 2 Abs. 2 AIG i.V.m. Art. 12 des Abkommens zwischen der Schweizerischen Eidgenossenschaft einerseits und der Europäischen Ge- meinschaft und ihren Mitgliedstaaten andererseits über die Freizügigkeit vom 21. Juni 1999 (FZA; SR 0.142.112.681) gilt das AIG für Staatsange- hörige der Mitgliedstaaten der Europäischen Union und ihre Familienange- hörigen sowie für entsandte Arbeitnehmende nur insoweit, als das FZA keine abweichenden Bestimmungen enthält oder das AIG eine vorteilhaf- tere Rechtsstellung vorsieht.</w:t>
      </w:r>
    </w:p>
    <w:p>
      <w:r>
        <w:rPr>
          <w:b/>
        </w:rPr>
        <w:t>E. 2.2</w:t>
      </w:r>
    </w:p>
    <w:p>
      <w:r>
        <w:t>Nach Art. 7 lit. d i.V.m. Art. 3 Anhang I FZA haben Familienangehörige von EU-Staatsangehörigen gestützt auf das Freizügigkeitsrecht einen An- spruch auf eine Aufenthaltserlaubnis. Als Familienangehörige gelten insbe- sondere auch Stiefkinder (Art. 3 Abs. 2 lit. a Anhang I FZA; BGE 136 II 65, Erw. 4). Dieses Recht steht unter dem Vorbehalt des Rechtsmissbrauchs; fehlt der Wille zur Lebensgemeinschaft und dient insbesondere das for- melle Eheband zwischen den Ehegatten, bzw. analog zwischen Stiefeltern und Stiefkindern, ausschliesslich (noch) dazu, die ausländerrechtlichen Zu- lassungsvorschriften zu umgehen, fällt der Anspruch dahin. Die vom originär anwesenheitsberechtigten EU-Staatsangehörigen abgeleitete Be- willigung des Drittstaatsangehörigen kann in diesem Fall mangels Fort- dauerns der Bewilligungsvoraussetzung gestützt auf Art. 23 Abs. 1 VFP i.V.m. Art. 62 Abs. 1 lit. d AIG widerrufen oder nicht verlängert werden, da das Freizügigkeitsabkommen diesbezüglich keine eigenen abweichenden Bestimmungen enthält (BGE 144 II 1, Erw. 3.1; BGE 139 II 393, Erw. 2.1). Die Mutter des Beschwerdeführers und sein Stiefvater haben die Ehege- meinschaft seit dem 23. Juni 2023 aufgegeben. Der Beschwerdeführer ver- blieb zwar zunächst bei seinem Stiefvater, zog eigenen Angaben zufolge jedoch spätestens im April 2024 ebenfalls aus dem gemeinsamen Haushalt mit dem Stiefvater aus (siehe vorne lit. A). Die Familiengemeinschaft zwischen Stiefvater und Stiefsohn wurde damit endgültig aufgegeben. Auf- grund des fehlenden Willens zur Lebensgemeinschaft ist der Anspruch auf eine Aufenthaltsbewilligung gestützt auf Art. 3 Abs. 1 und 2 Anhang I FZA</w:t>
      </w:r>
    </w:p>
    <w:p>
      <w:r>
        <w:t>- 8 - hinfällig geworden. Näher zu prüfen ist, ob dem Beschwerdeführer gestützt auf das AIG eine Bewilligung zu erteilen ist.</w:t>
      </w:r>
    </w:p>
    <w:p>
      <w:r>
        <w:rPr>
          <w:b/>
        </w:rPr>
        <w:t>E. 3</w:t>
      </w:r>
    </w:p>
    <w:p>
      <w:r>
        <w:t>Es werden keine Parteientschädigungen zugesprochen. Auf die Begründung wird, soweit erforderlich, in den folgenden Erwägungen eingegangen. C. Mit Eingabe seines Rechtsvertreters vom 18. Juli 2024 erhob der Be- schwerdeführer beim Verwaltungsgericht des Kantons Aargau (Verwal- tungsgericht) Beschwerde und stellte folgende Anträge (act. 11 ff.): 1. Der angefochtene Einspracheentscheid des Rechtsdienstes des Amtes für Migration und Integration vom 18. Juni 2024 sei aufzuheben und es sei die Aufenthaltsbewilligung von A._____ ordnungsgemäss zu verlängern. 2. Eventuell: Es sei der Einspracheentscheid des Rechtsdienstes des Amtes für Migration und Integration vom 18. Juni 2024 aufzuheben und die Streit- sache sei zur Ergänzung des Sachverhaltes und zum Neuentscheid im Sinne der Erwägungen an die Vorinstanz zurückzuweisen. - Unter Kosten- und Entschädigungsfolgen zu Lasten des Staates - Die Begründung ergibt sich, soweit erforderlich, aus den nachstehenden Erwägungen. Nach Eingang des Kostenvorschusses reichte die Vorinstanz aufforde- rungsgemäss die Akten ein und beantragte die Abweisung der Beschwerde (act. 25). Die Beschwerdeantwort wurde dem Beschwerdeführer mit In- struktionsverfügung vom 14. August 2024 zur Kenntnisnahme zugestellt. Ein weiterer Schriftenwechsel wurde nicht angeordnet (act. 26 f.). Am 21. Oktober 2024 ging beim Verwaltungsgericht eine Wegzugsmel- dung der Gemeinde W._____ vom 3. Oktober 2024 ein, welcher zu entneh- men ist, dass der Beschwerdeführer am 30. September 2024 nach V._____, Kanton Zürich, weggezogen war (act. 28). Mit Instruktionsver- fügung vom 5. November 2024 wurde die Wegzugsmeldung dem Be- schwerdeführer sowie dem Migrationsamt des Kantons Zürich zugestellt und das vorliegende Beschwerdeverfahren vorläufig, längstens bis zum rechtskräftigen Abschluss des im Kanton Zürich durchzuführenden migra- tionsrechtlichen Verfahrens betreffend Erteilung einer Aufenthaltsbewilli- gung, sistiert (act. 29 f.). Gemäss Mitteilung des Migrationsamts des Kan-</w:t>
      </w:r>
    </w:p>
    <w:p>
      <w:r>
        <w:t>- 4 - tons Zürich hatte der Beschwerdeführer zum damaligen Zeitpunkt kein Ge- such um Erteilung einer Aufenthaltsbewilligung im Kanton Zürich (Kantons- wechsel) eingereicht (act. 31). Mit Instruktionsverfügung vom 17. April 2025 wurde die Sistierung des vor- liegenden Beschwerdeverfahrens aufgehoben. Der Beschwerdeführer wurde zudem aufgefordert, das Verwaltungsgericht innert Frist über den Stand des im Kanton Zürich durchzuführenden migrationsrechtlichen Ver- fahrens betreffend Erteilung einer Aufenthaltsbewilligung zu orientieren (act. 34 f.). Am 7. Mai 2025 ging beim Verwaltungsgericht erneut eine Wegzugsmel- dung der Gemeinde W._____ ein, diesmal vom 28. April 2024, welcher zu entnehmen ist, dass der Beschwerdeführer am 19. April 2025 nach X._____, Kanton Zürich, weggezogen war (act. 36). Der Beschwerdeführer reicht am 12. Mai 2025 eine Meldebestätigung der Stadt X._____ vom 16. April 2025 ein, welcher ebenfalls zu entnehmen ist, dass der Beschwer- deführer per 19. April 2025 von W._____ nach X._____ umgezogen ist (act. 40 f.). Mit mittlerweile rechtskräftiger Verfügung vom 5. Juni 2025 wies das Migrationsamt des Kantons Zürich das Gesuch des Beschwerdeführers um Erteilung einer Aufenthaltsbewilligung im Kanton Zürich (Kantonswechsel) vom 16. April 2025 ab und wies ihn an, das zürcherische Kantonsgebiet bis am 5. August 2025 zu verlassen (act. 45 ff., 49).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- 5 - Die vorliegende Beschwerde richtet sich gegen den Einspracheentscheid der Vorinstanz vom 18. Juni 2024. Die Zuständigkeit des Verwaltungsge- 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SCHINDLER/KNEER, in: Caroni/ Thurnherr [Hrsg.], Stämpflis Handkommentar zum Ausländer- und Integra- tionsgesetz [AIG], 2. Aufl., Bern 2024, N. 6 zu Art. 96 mit Hinweisen). In diesem Zusammenhang hat das Verwaltungsgericht gemäss bundesge- richtlicher Rechtsprechung insbesondere zu klären, ob die Vorinstanz die gemäss Art. 96 des Bundesgesetzes über die Ausländerinnen und Auslän- der und über die Integration vom 16. Dezember 2005 (Ausländer- und In- tegrationsgesetz, AIG; SR 142.20) relevanten Kriterien (öffentliche Interes- sen, persönliche Verhältnisse, Integration) berücksichtigt hat und ob diese rechtsfehlerfrei gewichtet wurden (vgl. SCHINDLER/KNEER, a.a.O., N. 8 zu Art. 96). Schliesslich ist im Rahmen einer Gesamtbetrachtung zu entschei- den, ob die getroffene Massnahme durch ein überwiegendes öffentliches Interesse gerechtfertigt erscheint (sog. Verhältnismässigkeit im engeren Sinn). II. 1. 1.1. Die Vorinstanz weist in ihrem Entscheid zunächst darauf hin, dass der Be- schwerdeführer sein Aufenthaltsrecht nicht von seiner Mutter abgeleitet er- halten habe. Der Beschwerdeführer sei als Volljähriger im Alter von 18 Jah- ren nach der Heirat seiner Mutter mit seinem damaligen Stiefvater in die Schweiz eingereist. Als Stiefsohn und damit Verwandter in absteigender Linie, der noch nicht 21 Jahre alt ist, sei sein Aufenthaltsrecht von seinem in der Schweiz niederlassungsberechtigten deutschen Stiefvater abgelei- tet. Folglich seien die ausländerrechtlichen Schicksale des Beschwerde- führers und seiner (direkten) Angehörigen nicht miteinander verknüpft. Da zwischen dem Beschwerdeführer und seinem damaligen Stiefvater kein effektives Familienleben mehr geführt werde, stellt sich die Vorinstanz auf den Standpunkt, das MIKA sei zurecht davon ausgegangen, der Anspruch des Beschwerdeführers auf Erteilung einer Aufenthaltsbewilligung EU/EFTA im Rahmen des Familiennachzugs sei untergegangen. Entspre-</w:t>
      </w:r>
    </w:p>
    <w:p>
      <w:r>
        <w:t>- 6 - chend sei der Widerruf gemäss Art. 23 der Verordnung über den freien Per- sonenverkehr zwischen der Schweiz und der Europäischen Union und deren Mitgliedstaaten, zwischen der Schweiz und dem Vereinigten König- reich sowie unter den Mitgliedstaaten der Europäischen Freihandels- assoziation (Verordnung über den freien Personenverkehr, VFP; SR 142.203) zulässig. Auch die Voraussetzungen für eine ersatzweise Erteilung einer Aufent- haltsbewilligung gestützt auf das AIG verneint die Vorinstanz. So sei insbe- sondere keine persönliche Notlage ersichtlich, welche dem Beschwerde- führer einen Aufenthaltsanspruch gestützt auf Art. 30 Abs. 1 lit. b AIG i.V.m. Art. 31 Abs. 1 der Verordnung über Zulassung, Aufenthalt und Erwerbstä- tigkeit vom 24. Oktober 2007 (VZAE; SR 142.201) einräumen würde. Es sei zwar unbestritten, dass der Beschwerdeführer die Integrationskriterien erfülle, sein Integrationsstand sei jedoch nicht dergestalt, dass deswegen eine persönliche Notlage anzunehmen wäre. Weder sein Gesundheitszu- stand noch die familiären Verhältnisse würden einen Verbleib in der Schweiz erfordern. Zudem attestiert ihm die Vorinstanz gute Aussichten auf eine Reintegration in seinem Heimatstaat. Insgesamt fehle es an härtefall- begründenden Elementen. Ferner verneint die Vorinstanz durch den Widerruf der Aufenthaltsbewilli- gung einen Eingriff in Art. 8 der Konvention zum Schutze der Menschen- rechte und Grundfreiheiten vom 4. November 1950 (EMRK; SR 0.101). Ins- besondere hätte der Beschwerdeführer bereits zum Zeitpunkt seiner Ein- reise als Erwachsener nicht mehr zur Kernfamilie des Stiefvaters, seiner Mutter und Schwester gehört, womit weder damals noch heute ein Ab- hängigkeitsverhältnis zu ihnen bestanden habe. Gründe, welche die Rückkehr des Beschwerdeführers in sein Heimatland als nicht möglich, nicht zulässig oder nicht zumutbar erscheinen liessen, seien im Übrigen nicht ersichtlich. 1.2. Der Beschwerdeführer stellt sich demgegenüber auf den Standpunkt, der Widerruf seiner Aufenthaltsbewilligung würde ihn in unzumutbarer Weise aus seinem beruflichen und sozialen Beziehungsnetz in der Schweiz reis- sen. Er verursache keine Sozialhilfekosten, sei bestens integriert und seine bisherigen schulischen und beruflichen Leistungen würden auf ein grosses Potential hindeuten, auch wirtschaftlich in der Schweiz Fuss zu fassen. Der Beschwerdeführer habe sich aufgrund des Wegzugs seiner Mutter und Schwester in die Schweiz gezwungen gesehen, den beiden in die Schweiz zu folgen, auch weil er zu beiden eine innige Beziehung gepflegt habe. Es sei nun stossend, dass er gänzlich unverschuldet aufgrund der gescheiter- ten Beziehung seiner Mutter zum Stiefvater die Schweiz verlassen müsse.</w:t>
      </w:r>
    </w:p>
    <w:p>
      <w:r>
        <w:t>- 7 - Ihm sei es in persönlicher, wirtschaftlicher und sozialer Hinsicht nicht zuzumuten, in sein Heimatland zurückzukehren und sich dort aufzuhalten. Insbesondere sei er in Jamaika schlechter gestellt als seine Landsleute, zumal er aufgrund der Entscheidung seiner Mutter sein Studium im Heimat- land habe abbrechen müssen und auch in der Schweiz unverschuldet keine Ausbildung habe absolvieren können. Anders als gleichaltrige Landsleute würde er damit in seinem Heimatland keine berufliche Perspektive aufwei- sen. Dementsprechend liege ein schwerwiegender persönlicher Härtefall gemäss Art. 30 Abs. 1 lit. b AIG vor. 2.</w:t>
      </w:r>
    </w:p>
    <w:p>
      <w:r>
        <w:rPr>
          <w:b/>
        </w:rPr>
        <w:t>E. 3.1</w:t>
      </w:r>
    </w:p>
    <w:p>
      <w:r>
        <w:t>Eine Aufenthaltsbewilligung kann trotz laufender Gültigkeit widerrufen wer- den, wenn ein Widerrufsgrund nach Art. 62 Abs. 1 AIG vorliegt.</w:t>
      </w:r>
    </w:p>
    <w:p>
      <w:r>
        <w:rPr>
          <w:b/>
        </w:rPr>
        <w:t>E. 3.2</w:t>
      </w:r>
    </w:p>
    <w:p>
      <w:r>
        <w:t>Wird der Widerruf einer Aufenthaltsbewilligung damit begründet, dass der Aufenthaltszweck dahingefallen sei, besteht der Widerrufsgrund darin, dass die betroffene Person eine mit der Bewilligungserteilung verbundene Bedingung nicht mehr erfüllt, womit der Widerrufsgrund von Art. 62 Abs. 1 lit. d AIG erfüllt ist (vgl. Entscheid des Verwaltungsgerichts WBE.2022.67 vom 1. Juni 2022, Erw. II/2.2, eingehend WBE.2021.298 vom 28. März 2022, Erw. II/2.2). Geht es hingegen um eine Aufenthaltsbewilligung, deren Zweck im mass- geblichen Zeitpunkt fortbesteht, kommt ein Widerruf nur dann in Betracht, wenn ein anderer Widerrufsgrund vorliegt. Das heisst, es bedarf eines Widerrufsgrundes nach Art. 62 Abs. 1 lit. a–c oder e–g AIG.</w:t>
      </w:r>
    </w:p>
    <w:p>
      <w:r>
        <w:rPr>
          <w:b/>
        </w:rPr>
        <w:t>E. 3.3</w:t>
      </w:r>
    </w:p>
    <w:p>
      <w:r>
        <w:t>Mit dem Vorliegen eines Widerrufsgrundes erweist sich der Widerruf der Aufenthaltsbewilligung zwar als begründet. Wie jede behördliche Mass- nahme müssen aber auch der Widerruf einer Aufenthaltsbewilligung und die gemäss Art. 64 Abs. 1 lit. c AIG damit verbundene Wegweisung ver- hältnismässig sein (Art. 5 Abs. 2 BV und Art. 96 Abs. 1 AIG; vgl. BGE 135 II 377, Erw. 4.3) und verlangen folglich nach einer Interessen- abwägung unter den Gesichtspunkten von Art. 96 Abs. 1 AIG. Da sich die Prüfung der Verhältnismässigkeit des Widerrufs und der Weg- weisung erübrigt, wenn der betroffenen Person gestützt auf eine andere Norm eine Bewilligung zu erteilen ist, ist die Verhältnismässigkeitsprüfung des Widerrufs und der Wegweisung zunächst zurückzustellen und es ist vorab zu klären, ob der betroffenen Person ohnehin eine Bewilligung zu- steht (zum Ganzen Entscheid des Verwaltungsgerichts WBE.2021.298 vom 28. März 2022, Erw. II/2.3 f.).</w:t>
      </w:r>
    </w:p>
    <w:p>
      <w:r>
        <w:rPr>
          <w:b/>
        </w:rPr>
        <w:t>E. 4</w:t>
      </w:r>
    </w:p>
    <w:p>
      <w:r>
        <w:t>In einem ersten Schritt ist zu prüfen, ob ein Widerrufsgrund vorliegt (siehe vorne Erw. II/3.1). Der Beschwerdeführer verfügte aufgrund seines Aufenthalts als Stiefsohn eines in der Schweiz niederlassungsberechtigten deutschen Staatsange- hörigen ab dem 12. August 2021 über eine abgeleitete Aufenthaltsbewilli-</w:t>
      </w:r>
    </w:p>
    <w:p>
      <w:r>
        <w:t>- 9 - gung (siehe vorne lit. A). Zulassungsgrund war nach der Eheschliessung seiner Mutter mit seinem Stiefvater das Familienverhältnis des Beschwer- deführers zu seinem Stiefvater und das Zusammenleben des Beschwerde- führers in Familiengemeinschaft mit seinem Stiefvater war Aufenthalts- zweck und gleichsam Bedingung der Aufenthaltsbewilligung. Da der Be- schwerdeführer seit spätestens April 2024 aus der Familiengemeinschaft mit seinem Stiefvater ausgetreten ist, wird der Aufenthaltszweck bzw. die mit der Bewilligungserteilung verbundene Bedingung nicht mehr eingehal- ten, womit der Widerrufsgrund von Art. 62 Abs. 1 lit. d AIG erfüllt ist.</w:t>
      </w:r>
    </w:p>
    <w:p>
      <w:r>
        <w:rPr>
          <w:b/>
        </w:rPr>
        <w:t>E. 5.1</w:t>
      </w:r>
    </w:p>
    <w:p>
      <w:r>
        <w:t>Wie bereits ausgeführt, ist vor der Durchführung der Verhältnismässigkeits- prüfung zu klären, ob dem Beschwerdeführer gestützt auf eine andere Norm eine Bewilligung zu erteilen ist (vgl. vorne Erw. II/3.3). Die Prüfung eines Aufenthaltsanspruchs nach Art. 50 Abs. 1 lit. a AIG er- übrigt sich bereits deshalb, weil die Familiengemeinschaft eigenen Anga- ben zufolge weniger als drei Jahre bestanden hatte (siehe vorne lit. A). Da andere Anspruchsgrundlagen durch den Beschwerdeführer weder geltend gemacht werden noch ersichtlich sind (dies gilt insbesondere für Art. 50 Abs. 1 lit. b und Abs. 2 AIG, in Kraft seit 1. Januar 2025), kommt lediglich die Erteilung einer Aufenthaltsbewilligung aufgrund eines schwerwiegen- den persönlichen Härtefalls nach Art. 30 Abs. 1 lit. b AIG in Betracht, was vorliegend zu prüfen ist.</w:t>
      </w:r>
    </w:p>
    <w:p>
      <w:r>
        <w:rPr>
          <w:b/>
        </w:rPr>
        <w:t>E. 5.2</w:t>
      </w:r>
    </w:p>
    <w:p>
      <w:r>
        <w:t>Bei der Beurteilung, ob wichtige persönliche Gründe im Sinne von Art. 30 Abs. 1 lit. b AIG vorliegen, sind insbesondere die Konkretisierungen in Art. 31 VZAE zu beachten. Die Bestimmung umschreibt in allgemeiner Form, dass Ausländerinnen und Ausländern, die ihre Identität offenlegen, bei Vorliegen eines schwerwiegenden persönlichen Härtefalls eine Aufent- haltsbewilligung erteilt werden kann. Sie bezieht sich gemäss Klammer- 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w:t>
      </w:r>
    </w:p>
    <w:p>
      <w:r>
        <w:t>- 10 - - der Gesundheitszustand (lit. f) und - die Möglichkeiten der Wiedereingliederung im Herkunftsstaat (lit. g). Diese Kriterien beziehen sich einerseits auf härtefallbegründende Um- stände und andererseits auf Aspekte des öffentlichen Interesses, die der Erteilung einer Härtefallbewilligung entgegenstehen können. Mit Blick auf Art. 30 Abs. 1 lit. b AIG sind zunächst nur die härtefallbegründenden bzw. privaten Interessen massgebend, da vorab zu klären ist, ob wichtige per- sönliche Gründe vorliegen, die einen weiteren Aufenthalt in der Schweiz erforderlich machen und somit einen Grund setzen, die Aufenthaltsbewilli- gung zu erteilen oder zu verlängern. Liegt ein wichtiger persönlicher Grund bzw. ein schwerwiegender persönlicher Härtefall im Sinne der genannten Bestimmungen vor, ist die Aufenthaltsbewilligung grundsätzlich zu erteilen, es sei denn, der Erteilung der Bewilligung stehen Gründe entgegen, die zu einem überwiegenden öffentlichen Interesse an der Bewilligungsverweige- rung führen. Die für das Vorliegen eines Härtefalls gemäss Art. 31 VZAE zu beachten- den Kriterien stellen weder einen abschliessenden Katalog dar noch müssen sie kumulativ erfüllt sein, damit von einem Härtefall ausgegangen werden kann. Indes sind die Voraussetzungen zur Anerkennung eines Här- tefalls aufgrund ihres Ausnahmecharakters restriktiv zu handhaben, wobei an die vom Bundesgericht massgebend mitgeprägte Praxis zum schwer- wiegenden persönlichen Härtefall gemäss Art. 13 lit. f der Verordnung über die Begrenzung der Zahl der Ausländer vom 6. Oktober 1986 (BVO; aufge- hoben am 1. Januar 2008) angeknüpft werden kann, den Aspekten der In- tegration unter neuem Recht jedoch verstärktes Gewicht beizumessen ist (Entscheid des Verwaltungsgerichts WBE.2019.359 vom 22. Januar 2020, Erw. II/3.5.1.2; Botschaft AuG, BBl 2002 3709 ff., 3786; vgl. zum Ganzen GEISER/BLOCHER/BUSSLINGER, Ausländische Personen als Ehepartner und registrierte Partnerinnen, in: Uebersax/Rudin/Hugi Yar/Geiser/Vetterli [Hrsg.], Handbücher für die Anwaltspraxis, Ausländerrecht, 3. Aufl., Basel 2022, Rz. 23.316 ff.; vgl. auch Art. 3 Abs. 1 sowie Art. 96 Abs. 1 AIG). Aufgrund der restriktiven Handhabung der Voraussetzungen zur Anerken- nung eines Härtefalls ist ein schwerwiegender persönlicher Härtefall ge- mäss Rechtsprechung nicht leichthin anzunehmen.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 enthaltsbewilligung für sie mit schweren Nachteilen verbunden wäre (vgl. BGVE 2009/40, Erw. 6.2 mit Hinweisen; Urteil des Bundesverwaltungs- gericht (BVGer) F-5440/2023 vom 20. September 2024, Erw. 4.2).</w:t>
      </w:r>
    </w:p>
    <w:p>
      <w:r>
        <w:t>- 11 -</w:t>
      </w:r>
    </w:p>
    <w:p>
      <w:r>
        <w:rPr>
          <w:b/>
        </w:rPr>
        <w:t>E. 5.3.1</w:t>
      </w:r>
    </w:p>
    <w:p>
      <w:r>
        <w:t>Nachfolgend ist zu prüfen, ob die Vorinstanz zu Recht davon ausgegangen ist, dass beim Beschwerdeführer kein schwerwiegender persönlicher Här- tefall im Sinne der genannten Bestimmungen vorliegt.</w:t>
      </w:r>
    </w:p>
    <w:p>
      <w:r>
        <w:rPr>
          <w:b/>
        </w:rPr>
        <w:t>E. 5.3.2.1</w:t>
      </w:r>
    </w:p>
    <w:p>
      <w:r>
        <w:t>Bei der Beurteilung, ob ein Härtefall vorliegt, kommt der Aufenthaltsdauer in der Schweiz eine erhebliche Bedeutung zu. Je länger eine Person in einem bestimmten Land lebt, desto enger werden in der Regel die Be- ziehungen sein, die sie dort geknüpft hat, umso grösser ist grundsätzlich ihr privates Interesse an einem Verbleib in diesem Land und umso eher ist im Fall einer Wegweisung von einem schwerwiegenden persönlichen Här- tefall auszugehen. Massgebend ist aber nicht die Aufenthaltsdauer für sich allein. Wie gross das aus der Aufenthaltsdauer resultierende private Interesse an einem wei- teren Verbleib ausfällt und inwieweit demzufolge die Aufenthaltsdauer dafürspricht, dass bei einer Wegweisung ein Härtefall vorliegt, lässt sich vielmehr erst unter Berücksichtigung der während der Aufenthaltsdauer er- folgten Integration – namentlich in sprachlicher, kultureller, sozialer, beruf- licher und wirtschaftlicher Hinsicht – bestimmen. Damit gilt der Grundsatz "je länger die Aufenthaltsdauer, umso eher ist von einem Härtefall auszu- gehen" nur, wenn die Integration einen der Aufenthaltsdauer entsprechen- den Grad erreicht. Wird der aufgrund der Aufenthaltsdauer zu erwartende Integrationsgrad übertroffen, ist entsprechend (noch) eher von einem Här- tefall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 wieweit die Dauer des bisherigen Aufenthalts in der Schweiz für einen schwerwiegenden persönlichen Härtefall spricht.</w:t>
      </w:r>
    </w:p>
    <w:p>
      <w:r>
        <w:rPr>
          <w:b/>
        </w:rPr>
        <w:t>E. 5.3.2.2</w:t>
      </w:r>
    </w:p>
    <w:p>
      <w:r>
        <w:t>Der Beschwerdeführer reiste am 19. Juli 2021 in die Schweiz ein und hat hier seit rund 4 Jahren seinen ständigen Aufenthalt. Unter diesen Umstän- den ist grundsätzlich von einer bestehenden, aber (noch) nicht engen Be- ziehung zur Schweiz auszugehen. Zu prüfen ist im Folgenden, wie sich der Beschwerdeführer mit Blick auf die noch nicht lange Aufenthaltsdauer in der Schweiz integriert hat und inwie- weit letztlich die Aufenthaltsdauer unter Berücksichtigung des Integrations- grads für einen Härtefall spricht.</w:t>
      </w:r>
    </w:p>
    <w:p>
      <w:r>
        <w:t>- 12 -</w:t>
      </w:r>
    </w:p>
    <w:p>
      <w:r>
        <w:rPr>
          <w:b/>
        </w:rPr>
        <w:t>E. 5.3.2.3</w:t>
      </w:r>
    </w:p>
    <w:p>
      <w:r>
        <w:t>Der Beschwerdeführer besuchte ab Februar 2023 das Brückenangebot In- tegration an der Kantonalen Schule für Berufsbildung (KSB). Im September 2023 erreichte er im Fach Deutsch als Zweitsprache (DaZ) die Note 5.4 und damit das Referenzniveau B1 (MI-act. 86). In der Beschwerde wies sein Rechtsvertreter darauf hin, der Beschwerdeführer könne sich auf Deutsch gut verständigen, sodass für die persönlichen Besprechungen kein Dolmetscher hätte beigezogen werden müssen (act. 17). Mit Blick auf die noch nicht lange Aufenthaltsdauer und die relativ schnellen Fortschritte ist von einer guten Integration in sprachlicher Hinsicht auszugehen.</w:t>
      </w:r>
    </w:p>
    <w:p>
      <w:r>
        <w:rPr>
          <w:b/>
        </w:rPr>
        <w:t>E. 5.3.2.4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reiste im Alter von 18 Jahren in die Schweiz ein. Aus dem Referenzschreiben zweier Lehrpersonen der KSB geht hervor, dass er mit der ganzen Klasse einen guten Kontakt pflege (MI-act. 84). Weitere Hinweise auf einen festen Freundeskreis in der Schweiz sind in den Akten nicht ersichtlich. Allgemein sind den Akten und Beschwerdevor- bringen ansonsten keine Hinweise auf eine besondere kulturelle Einbin- dung des Beschwerdeführers in der Schweiz zu entnehmen. Insgesamt ist bei ihm in kultureller und sozialer Hinsicht mit Blick auf die noch nicht lange Aufenthaltsdauer jedenfalls von einer normalen Integration auszugehen.</w:t>
      </w:r>
    </w:p>
    <w:p>
      <w:r>
        <w:rPr>
          <w:b/>
        </w:rPr>
        <w:t>E. 5.3.2.5</w:t>
      </w:r>
    </w:p>
    <w:p>
      <w:r>
        <w:t>Was die berufliche und wirtschaftliche Integration des Beschwerdeführers anbelangt, ist festzuhalten, dass dieser von September 2021 bis Februar 2022 ein sechsmonatiges Praktikum absolvierte und damit kurz nach Ein- reise in der Schweiz einen Praktikumsplatz erhalten hatte (MI-act. 87). Nachdem er die Schule (KSB) – eigenen Angaben zufolge aus finanziellen Gründen – im Januar 2024 abgebrochen hatte, fand er ab April 2024 eine neue Stelle, zunächst als Temporär-Angestellter und ab dem 25. April 2024 in einem unbefristeten Arbeitsverhältnis (act. 15 f.). Betreibungen, Verlust- scheine oder ein Bezug von Sozialhilfe sind aus den Akten nicht ersichtlich. Damit ist dem Beschwerdeführer mit Blick auf die noch nicht lange Aufent- haltsdauer in beruflicher und wirtschaftlicher Hinsicht insgesamt wiederum eine gute Integration zu attestieren.</w:t>
      </w:r>
    </w:p>
    <w:p>
      <w:r>
        <w:rPr>
          <w:b/>
        </w:rPr>
        <w:t>E. 5.3.2.6</w:t>
      </w:r>
    </w:p>
    <w:p>
      <w:r>
        <w:t>Gesamthaft betrachtet ist der Beschwerdeführer mit Blick auf seinen in- zwischen rund 4-jährigen Aufenthalt in der Schweiz gut in die schweize- rischen Verhältnisse integriert und hat sich nichts zuschulden kommen</w:t>
      </w:r>
    </w:p>
    <w:p>
      <w:r>
        <w:t>- 13 - lassen. Eine besonders tiefgreifende Verwurzelung in der Schweiz ist indes nicht ersichtlich. Die Dauer des bisherigen, noch nicht langen Aufenthalts unter Berücksichtigung der währenddessen erfolgten Integration begründet entsprechend nicht eine so enge Beziehung zur Schweiz, dass es dem Be- schwerdeführer nicht zugemutet werden kann, in seinem Heimatland zu leben. Näher zu prüfen ist, ob die Integration und die Anwesenheitsdauer in Verbindung mit den anderen Kriterien nach Art. 31 Abs. 1 VZAE eine persönliche Notlage des Beschwerdeführers zu begründen vermag.</w:t>
      </w:r>
    </w:p>
    <w:p>
      <w:r>
        <w:rPr>
          <w:b/>
        </w:rPr>
        <w:t>E. 5.3.3</w:t>
      </w:r>
    </w:p>
    <w:p>
      <w:r>
        <w:t>Der Beschwerdeführer lebte nach seiner Einreise in die Schweiz zunächst in der Familiengemeinschaft mit seinem Stiefvater, seiner Mutter und seiner Schwester. Nachdem die Mutter und Schwester ausgezogen waren, ver- blieb der Beschwerdeführer zunächst bei seinem Stiefvater und zog eige- nen Angaben zufolge spätestens im April 2024 zu seiner Mutter und seiner Schwester (siehe vorne lit. A). Mit Verfügung vom 5. Juni 2025 verweigerte das Migrationsamt des Kantons Zürich dem Beschwerdeführer indes den Kantonswechsel und wies ihn aus dem Gebiet des Kantons Zürich weg (act. 45 ff.). Der Beschwerdeführer ist im Alter von 18 Jahren in die Schweiz eingereist und mittlerweile 22 Jahre alt. Er ist damit seit 4 Jahren volljährig und grund- sätzlich selbst für sich verantwortlich. Dies gilt umso mehr, als die Akten nicht für eine überdurchschnittlich grosse Bindung des Beschwerdeführers zu seinem Stiefvater oder seiner Mutter sprechen. So ist der Beschwerde- führer ursprünglich seiner Mutter und Schwester nicht gefolgt, als diese den gemeinsamen Haushalt mit dem Stiefvater verlassen hatten. Hinsichtlich des Stiefvaters ist zudem davon auszugehen, dass der Beschwerdeführer die Beziehung zu ihm grösstenteils aufgegeben hat, nachdem er aus der gemeinsamen Wohngemeinschaft ausgezogen ist. Darüber hinaus haben mit der Trennung der Ehegemeinschaft auch die Mutter und die Schwester ihr originäres Aufenthaltsrecht verloren, weshalb unklar ist, ob sie über- haupt in der Schweiz verbleiben dürfen. Nach dem Gesagten kann von einem emotionalen Abhängigkeitsverhältnis nicht die Rede sein und die familiären Verhältnisse vermögen nichts daran zu ändern, dass es dem Beschwerdeführer zugemutet werden kann, in sein Heimatland zurückzukehren.</w:t>
      </w:r>
    </w:p>
    <w:p>
      <w:r>
        <w:rPr>
          <w:b/>
        </w:rPr>
        <w:t>E. 5.3.4</w:t>
      </w:r>
    </w:p>
    <w:p>
      <w:r>
        <w:t>Der Beschwerdeführer hat seine gesamte Kindheit und insbesondere die prägenden Jahre seiner Jugend in seiner Heimat verbracht. Sowohl sprachlich als auch kulturell dürfte der Beschwerdeführer damit keine Prob- leme haben, sich wieder in seinem Heimatland zurechtzufinden. Aufgrund des Wegzugs in die Schweiz konnte er zwar sein Studium im Heimatland nicht beenden, weshalb er über keine höhere Ausbildung verfügt, dies ver-</w:t>
      </w:r>
    </w:p>
    <w:p>
      <w:r>
        <w:t>- 14 - mag seine Lebens- und Existenzbedingungen, gemessen am durchschnitt- lichen Schicksal von ausländischen Personen, indes nicht in gesteigertem Mass in Frage zu stellen. Auch dass das frühere Haus seiner Familie mitt- lerweile abgerissen wurde, bildet keinen wichtigen persönlichen Grund, der einen weiteren Aufenthalt in der Schweiz erforderlich macht. Eigenen An- gaben zufolge gehörte das Haus seinem Grossvater (MI-act. 106). Dieser liess seine Familie offenbar vor dem Wegzug in die Schweiz in seinem Wohneigentum wohnen. Es erscheint damit wahrscheinlich, dass der Be- schwerdeführer auch nach seiner Rückkehr mit der Unterstützung seines Grossvaters rechnen könnte. Darüber hinaus ist es dem Beschwerdeführer ohne Weiteres zumutbar, in seinem Heimatland eine eigene Wohnung zu finden. Dementsprechend dürfte die Wiedereingliederung in seinem Her- kunftsland den Beschwerdeführer zwar vor gewisse Schwierigkeiten stellen, wobei unüberwindbare Integrationshindernisse jedoch zu ver- neinen sind. Gesundheitliche Probleme, welche seinen weiteren Verbleib in der Schweiz erforderlich machen könnten, ergeben sich keine aus den Akten und wer- den auch nicht vorgebracht.</w:t>
      </w:r>
    </w:p>
    <w:p>
      <w:r>
        <w:rPr>
          <w:b/>
        </w:rPr>
        <w:t>E. 5.3.5</w:t>
      </w:r>
    </w:p>
    <w:p>
      <w:r>
        <w:t>Nach dem Gesagten steht fest, dass die Wegweisung des Beschwerdefüh- rers keinen schwerwiegenden persönlichen Härtefall zu begründen ver- mag.</w:t>
      </w:r>
    </w:p>
    <w:p>
      <w:r>
        <w:rPr>
          <w:b/>
        </w:rPr>
        <w:t>E. 6</w:t>
      </w:r>
    </w:p>
    <w:p>
      <w:r>
        <w:t>Erweist sich unter Berücksichtigung der Kriterien von Art. 31 VZAE, dass bei einer ausländischen Person nach Wegfall ihres abgeleiteten Bewilli- gungsanspruchs zwecks Verbleibs beim niederlassungsberechtigten Fami- lienangehörigen kein schwerwiegender persönlicher Härtefall im Sinne von Art. 30 Abs. 1 lit. b AIG vorliegt, ist damit gleichsam erstellt, dass das pri- vate Interesse der betroffenen Person an einem weiteren Verbleib in der Schweiz das öffentliche Interesse an der Beendigung ihres Aufenthalts nach Auflösung der anwesenheitsberechtigenden Familiengemeinschaft nicht aufzuwiegen vermag. Dies gilt auch in jenen Fällen, in denen sich das öffentliche Interesse in migrationsregulatorischen Überlegungen erschöpft (vgl. zum Ganzen Art. 31 Abs. 1 VZAE in Verbindung mit Art. 96 Abs. 1 AIG; Entscheid des Verwaltungsgerichts WBE.2021.84 vom 12. August 2021, Erw. II/5). Im Rahmen der vorstehenden Erwägungen wurde unter Berücksichtigung der Kriterien von Art. 31 VZAE festgestellt, dass beim Beschwerdeführer, der seinen abgeleiteten Bewilligungsanspruch zum Verbleib bei seinem (früheren) Stiefvater verloren hat (siehe vorne Erw. II/4), kein schwerwie- gender persönlicher Härtefall vorliegt (Erw. II/5). Damit steht nach dem Ge- sagten fest, dass der Widerruf der Aufenthaltsbewilligung und die Wegwei-</w:t>
      </w:r>
    </w:p>
    <w:p>
      <w:r>
        <w:t>- 15 - sung des Beschwerdeführers aus der Schweiz auch vor dem Gebot der Verhältnismässigkeit standhalten. Auf eine erneute Darlegung und detail- lierte Bemessung der zu berücksichtigenden Interessen kann unter diesen Umständen verzichtet werden.</w:t>
      </w:r>
    </w:p>
    <w:p>
      <w:r>
        <w:rPr>
          <w:b/>
        </w:rPr>
        <w:t>E. 7</w:t>
      </w:r>
    </w:p>
    <w:p>
      <w:r>
        <w:t>Hinsichtlich der Prüfung, ob die Verweigerung des weiteren Aufenthalts des Beschwerdeführers in der Schweiz und die damit verbundene Wegweisung vor Art. 8 der Konvention zum Schutze der Menschenrechte und Grundfrei- heiten vom 4. November 1950 (EMRK; SR 0.101) standhalten, kann voll- umfänglich auf die zutreffenden Ausführungen der Vorinstanz verwiesen werden. Eine Verletzung von Art. 8 EMRK ist nicht ersichtlich und wird auch nicht geltend gemacht (act. 7 f.).</w:t>
      </w:r>
    </w:p>
    <w:p>
      <w:r>
        <w:rPr>
          <w:b/>
        </w:rPr>
        <w:t>E. 8</w:t>
      </w:r>
    </w:p>
    <w:p>
      <w:r>
        <w:t>Schliesslich ist mit der Vorinstanz festzuhalten, dass keine Hinweise er- sichtlich sind, wonach der Vollzug der Wegweisung im Sinne von Art. 83 AIG unzulässig, unmöglich oder unzumutbar sein könnte (act. 8). Der Be- schwerdeführer macht in seiner Beschwerde denn auch keine Vollzugshin- dernisse geltend.</w:t>
      </w:r>
    </w:p>
    <w:p>
      <w:r>
        <w:rPr>
          <w:b/>
        </w:rPr>
        <w:t>E. 9</w:t>
      </w:r>
    </w:p>
    <w:p>
      <w:r>
        <w:t>Nachdem die Streitsache spruchreif ist und keiner Sachverhaltsergän- zungen bedarf, ist das Verfahren nicht - wie eventualiter beantragt - an die Vorinstanz zurückzuweisen. Zusammenfassend steht fest, dass der Widerruf der Aufenthaltsbewilligung und die Wegweisung des Beschwerdeführers gemäss nationalem Recht nicht zu beanstanden sind und vor Art. 8 EMRK standhalten. Nachdem auch dem Vollzug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w:t>
      </w:r>
    </w:p>
    <w:p>
      <w:r>
        <w:t>- 16 -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