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WBE.2024.223 vom 1. September 2025</w:t>
      </w:r>
    </w:p>
    <w:p>
      <w:r>
        <w:t>AG Verwaltungsgericht, 2025-09-01, DE</w:t>
      </w:r>
    </w:p>
    <w:p>
      <w:r>
        <w:rPr>
          <w:b/>
        </w:rPr>
        <w:t xml:space="preserve">Quelle: </w:t>
      </w:r>
      <w:r>
        <w:t>https://mcp.opencaselaw.ch/entscheid/ag_verwaltungsgericht_WBE.2024.223</w:t>
      </w:r>
    </w:p>
    <w:p>
      <w:r>
        <w:t>FR: AG_VERWALTUNGSGERICHT WBE.2024.223 du 1 septembre 2025</w:t>
      </w:r>
    </w:p>
    <w:p>
      <w:r>
        <w:t>IT: AG_VERWALTUNGSGERICHT WBE.2024.223 del 1 settembre 2025</w:t>
      </w:r>
    </w:p>
    <w:p>
      <w:pPr>
        <w:pStyle w:val="Heading2"/>
      </w:pPr>
      <w:r>
        <w:t>Erwägungen</w:t>
      </w:r>
    </w:p>
    <w:p>
      <w:r>
        <w:rPr>
          <w:b/>
        </w:rPr>
        <w:t>E. 6</w:t>
      </w:r>
    </w:p>
    <w:p>
      <w:r>
        <w:t>Unter den dargelegten Umständen ist sodann nicht zu beanstanden, wenn die Vorinstanz die Erteilung einer Härtefallbewilligung im Sinne von Art. 30 Abs. 1 lit. b AIG verneint (act. 9). Liegen keine wichtigen persönlichen Gründe nach Art. 50 Abs. 1 lit. b i.V.m. Abs. 2 AIG vor und werden bei der Prüfung dieser Frage die Kriterien gemäss Art. 31 VZAE berücksichtigt, liegt regelmässig auch kein schwerwiegender persönlicher Härtefall im Sinne von Art. 30 Abs. 1 lit. b AIG vor. Es sind denn auch keine Umstände ersichtlich oder werden vorgebracht, die unabhängig von der Ehe bzw. der</w:t>
      </w:r>
    </w:p>
    <w:p>
      <w:r>
        <w:t>- 17 - geltend gemachten häuslichen Gewalt auf das Bestehen einer solchen Här- tefallsituation hindeuten würden.</w:t>
      </w:r>
    </w:p>
    <w:p>
      <w:r>
        <w:rPr>
          <w:b/>
        </w:rPr>
        <w:t>E. 7</w:t>
      </w:r>
    </w:p>
    <w:p>
      <w:r>
        <w:t>Erweist sich unter Berücksichtigung der Kriterien von Art. 31 VZAE, dass bei einer ausländischen Person nach Wegfall ihres abgeleiteten Bewilli- gungsanspruchs zwecks Verbleibs beim (früheren) Ehegatten weder ein nachehelicher Härtefall im Sinne von Art. 50 Abs. 1 lit. b AIG noch ein schwerwiegender persönlicher Härtefall im Sinne von Art. 30 Abs. 1 lit. b AIG vorliegt, ist damit gleichsam erstellt, dass das private Interesse der be- troffenen Person an einem weiteren Verbleib in der Schweiz das öffentliche Interesse an der Beendigung ihres Aufenthalts nach Auflösung der anwe- senheitsberechtigenden Ehegemeinschaft nicht aufzuwiegen vermag. Dies gilt auch in jenen Fällen, in denen sich das öffentliche Interesse in migra- tionsregulatorischen Überlegungen erschöpft (vgl. zum Ganzen Art. 31 Abs. 1 VZAE mit Art. 96 Abs. 1 AIG; Entscheid des Verwaltungsgerichts WBE.2021.346 vom 28. März 2022, Erw. II/8). Im Rahmen der vorstehenden Erwägungen und unter Verweis auf die zu- treffenden vorinstanzlichen Erwägungen (act. 4 f.) wurde unter Berücksich- tigung der Kriterien von Art. 31 VZAE festgestellt, dass beim Beschwerde- führer, der seinen abgeleiteten Bewilligungsanspruch zwecks Verbleibs bei seiner Noch-Ehefrau verloren hat (siehe vorne Erw. II/3), weder ein nach- ehelicher Härtefall (Erw. II/5.3 ff.) noch ein schwerwiegender persönlicher Härtefall (Erw. II/6) vorliegt. Damit steht fest, dass die Nichtverlängerung der bisherigen sowie die Verweigerung einer neuen Aufenthaltsbewilligung und die Wegweisung des Beschwerdeführers aus der Schweiz auch vor dem Gebot der Verhältnismässigkeit standhalten. Auf eine erneute Darle- gung und detaillierte Bemessung der zu berücksichtigenden Interessen kann unter diesen Umständen verzichtet werden.</w:t>
      </w:r>
    </w:p>
    <w:p>
      <w:r>
        <w:rPr>
          <w:b/>
        </w:rPr>
        <w:t>E. 8</w:t>
      </w:r>
    </w:p>
    <w:p>
      <w:r>
        <w:t>Hinsichtlich der Prüfung, ob die Verweigerung des weiteren Aufenthalts des Beschwerdeführers in der Schweiz und die damit verbundene Wegweisung vor Art. 8 EMRK standhalten, kann vollumfänglich auf die zutreffenden Aus- führungen der Vorinstanz verwiesen werden (act. 9). Eine Verletzung von Art. 8 EMRK ist nicht ersichtlich und wird auch nicht behauptet.</w:t>
      </w:r>
    </w:p>
    <w:p>
      <w:r>
        <w:rPr>
          <w:b/>
        </w:rPr>
        <w:t>E. 9</w:t>
      </w:r>
    </w:p>
    <w:p>
      <w:r>
        <w:t>Schliesslich ist mit der Vorinstanz festzuhalten, dass keine Hinweise er- sichtlich sind, wonach der Vollzug der Wegweisung im Sinne von Art. 83 AIG unzulässig, unmöglich oder unzumutbar sein könnte (act. 10). Der Be- schwerdeführer macht in seiner Beschwerde denn auch keine Vollzugshin- dernisse geltend.</w:t>
      </w:r>
    </w:p>
    <w:p>
      <w:r>
        <w:t>- 18 -</w:t>
      </w:r>
    </w:p>
    <w:p>
      <w:r>
        <w:rPr>
          <w:b/>
        </w:rPr>
        <w:t>E. 10</w:t>
      </w:r>
    </w:p>
    <w:p>
      <w:r>
        <w:t>Zusammenfassend steht fest, dass die Nichtverlängerung der bisherigen sowie die Verweigerung einer neuen Aufenthaltsbewilligung und die Weg- weisung des Beschwerdeführers gemäss nationalem Recht nicht zu bean- standen sind und vor Art. 8 EMRK standhalten. Nachdem auch dem Voll- zug der Wegweisung keine Hindernisse entgegenstehen, ist der Entscheid der Vorinstanz nicht zu beanstanden und die Beschwerde ist abzuweisen. III. Im Beschwerdeverfahren werden die Verfahrenskosten nach Massgabe des Obsiegens und Unterliegens auf die Parteien verlegt (§ 31 Abs. 2 VRPG). Nachdem der Beschwerdeführer vollumfänglich unterliegt, gehen die Kosten des verwaltungsgerichtlichen Verfahrens zu seinen Lasten. Ein Parteikostenersatz fällt ausser Betracht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