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WBE.2024.205 vom 23. Juli 2024</w:t>
      </w:r>
    </w:p>
    <w:p>
      <w:r>
        <w:t>AG Verwaltungsgericht, 2024-07-23, DE</w:t>
      </w:r>
    </w:p>
    <w:p>
      <w:r>
        <w:rPr>
          <w:b/>
        </w:rPr>
        <w:t xml:space="preserve">Quelle: </w:t>
      </w:r>
      <w:r>
        <w:t>https://mcp.opencaselaw.ch/entscheid/ag_verwaltungsgericht_WBE.2024.205</w:t>
      </w:r>
    </w:p>
    <w:p>
      <w:r>
        <w:t>FR: AG_VERWALTUNGSGERICHT WBE.2024.205 du 23 juillet 2024</w:t>
      </w:r>
    </w:p>
    <w:p>
      <w:r>
        <w:t>IT: AG_VERWALTUNGSGERICHT WBE.2024.205 del 23 luglio 2024</w:t>
      </w:r>
    </w:p>
    <w:p>
      <w:pPr>
        <w:pStyle w:val="Heading2"/>
      </w:pPr>
      <w:r>
        <w:t>Erwägungen</w:t>
      </w:r>
    </w:p>
    <w:p>
      <w:r>
        <w:rPr>
          <w:b/>
        </w:rPr>
        <w:t>E. 3</w:t>
      </w:r>
    </w:p>
    <w:p>
      <w:r>
        <w:t>Den eingegangenen Betreibungsregisterauszug vom 10. April 2024 (Nr. 202403943), welcher nicht getilgte Verlustscheine aus Pfändung in Hö- he von Fr. 52'382.00 ausweist, stellte die Anwaltskommission mit Verfü- gung vom 12. April 2024 A._____ zur Stellungnahme zu.</w:t>
      </w:r>
    </w:p>
    <w:p>
      <w:r>
        <w:rPr>
          <w:b/>
        </w:rPr>
        <w:t>E. 4</w:t>
      </w:r>
    </w:p>
    <w:p>
      <w:r>
        <w:t>Mit Schreiben vom 23. April 2024 nahm lic. iur. A._____ zum Be- treibungsauszug Stellung und stellte in Aussicht, dass die offenen Debito- ren bis zum 22. Mai 2024 bereinigt bzw. bis zu diesem Zeitpunkt entspre- chende Rückzugserklärungen eingereicht würden. Als Grund für die Ver- lustscheine nannte er "treuhänderische Defizite." Er beantragte sinnge- mäss, vor einem abschliessenden Entscheid den 22. Mai 2024 abzuwar- ten.</w:t>
      </w:r>
    </w:p>
    <w:p>
      <w:r>
        <w:rPr>
          <w:b/>
        </w:rPr>
        <w:t>E. 5</w:t>
      </w:r>
    </w:p>
    <w:p>
      <w:r>
        <w:t>Mit der Verwaltungsgerichtsbeschwerde können die unrichtige oder unvoll- ständige Feststellung des Sachverhalts sowie Rechtsverletzungen gerügt werden (§ 55 Abs. 1 VRPG). Überschreitung, Unterschreitung und Miss- brauch des Ermessens gelten dabei als Rechtsverletzung (vgl. ULRICH HÄFELIN/GEORG MÜLLER/FELIX UHLMANN, Allgemeines Verwaltungsrecht,</w:t>
      </w:r>
    </w:p>
    <w:p>
      <w:r>
        <w:rPr>
          <w:b/>
        </w:rPr>
        <w:t>E. 8</w:t>
      </w:r>
    </w:p>
    <w:p>
      <w:r>
        <w:t>Aufl. 2020, Rz. 442). Die Rüge der Unangemessenheit ist demgegen- über unzulässig (Umkehrschluss aus § 55 Abs. 3 VRPG).</w:t>
      </w:r>
    </w:p>
    <w:p>
      <w:r>
        <w:t>- 5 - II. 1. 1.1. Der Beschwerdeführer begründet die beantragte Aufhebung des Ent- scheids der Anwaltskommission vom 26. April 2024 damit, dass er die Til- gung der Verlustscheine während dem verwaltungsgerichtlichen Be- schwerdeverfahren belegen und entsprechende Zahlungsbelege nachrei- chen werde. Es handle sich nicht um Verlustscheine im Zusammenhang mit allfälligen Klientengeldern. Er habe auf keine Klientengelder zurückge- griffen. Die Gefahr, dass die Zahlungsfähigkeit gegenüber potenziellen Kli- enten nicht mehr sichergestellt sei, bestehe daher nicht mehr. Wegen Ver- lustscheinen für Steuerforderungen könne auch nicht auf eine solche Ge- fährdung geschlossen werden. Zusätzliche Ausführungen beziehen sich auf die Verurteilung wegen Veruntreuung, obwohl das diesbezüglich eröff- nete Aufsichtsverfahren von der Anwaltskommission am 26. April 2024 als gegenstandslos geworden von der Kontrolle abgeschrieben worden ist, bzw. auf die Verhältnismässigkeit von (vorliegend nicht zur Diskussion ste- henden) Disziplinarmassnahmen gestützt auf Art. 17 BGFA (vgl. vorne Erw. I/2). 1.2. 1.2.1. Art. 9 BGFA sieht die Löschung des Registereintrags vor, wenn die Anwäl- tin oder der Anwalt eine der Voraussetzungen für den Registereintrag nicht mehr erfüllt. Zu den persönlichen Voraussetzungen für den Registereintrag gehört, dass gegen die Anwältin oder den Anwalt keine Verlustscheine be- stehen (Art. 8 Abs. 1 lit. c BGFA). Erfasst sind davon sowohl Pfändungs- verlustscheine als auch Konkursverlustscheine. Ob es sich bei den zu Grunde liegenden Schulden um private oder berufliche Schulden der An- wältin oder des Anwalts handelt, ist unerheblich (vgl. ERNST STAEHELIN/ CHRISTIAN OETIKER, in: Kommentar zum Anwaltsgesetz, a.a.O., Art. 8 N. 24). Zweck dieser Eintragungsvoraussetzung ist, dass die Klientin oder der Klient nicht befürchten muss, dass die Anwältin oder der Anwalt die anvertrauten finanziellen Mittel aufgrund von Zahlungsschwierigkeiten nicht zurückgibt (Urteil des Bundesgerichts 2A.619/2005 vom 2. März 2006, Erw. 3.1 mit Hinweis). Die Löschung nach Art. 9 BGFA bezieht sich auf rein objektive, verschuldensunabhängige Gründe (TOMAS POLEDNA, in: Kommentar zum Anwaltsgesetz, a.a.O., Art. 17 N. 20). 1.2.2. Der Beschwerdeführer hat in seiner Stellungnahme vom 23. April 2024 der Vorinstanz in Aussicht gestellt, dass die offenen Debitoren bis zum 22. Mai 2024 bereinigt seien. In der Verwaltungsgerichtsbeschwerde vom 5. Juni 2024 stellte er in Aussicht, dass er mit den Gläubigern die Tilgung der Ver- lustscheine regeln und die entsprechenden Belege "in diesem Verfahren"</w:t>
      </w:r>
    </w:p>
    <w:p>
      <w:r>
        <w:t>- 6 - ins Recht legen werde. Bis zum heutigen Datum fehlt indessen jeglicher diesbezügliche Nachweis. Der vom Verwaltungsgericht eingeholte aktuali- sierte Betreibungsregisterauszug vom 26. Juni 2024 (Nr. 202407168) weist nach wie vor nicht getilgte Verlustscheine aus Pfändung in Höhe von Fr. 46'970.15 aus. Die Löschung des Beschwerdeführers aus dem An- waltsregister nach Art. 9 BGFA ist daher nicht zu beanstanden, da dieser die persönliche Voraussetzung gemäss Art. 8 Abs. 1 lit. c BGFA nicht mehr erfüllt. Die Argumentation des Beschwerdeführers, dass es sich um private Schulden handelt und er nicht auf Klientengelder zurückgegriffen habe, ver- fängt nicht; wie gesehen (vgl. vorne Erw. II/1.2.1) ist es unerheblich, welche Gründe zu den Verlustscheinen geführt haben. 2. Der Beschwerdeführer erachtet die Massnahme des dauernden Berufsaus- übungsverbots gestützt auf Art. 17 BGFA als absolut unverhältnismässig. Der Beschwerdeführer verkennt in diesem Zusammenhang, dass ihm nicht gestützt auf Art. 17 BGFA ein dauerndes Berufsausübungsverbot angeord- net wurde, sondern dass er gestützt auf Art. 9 BGFA aus dem kantonalen Anwaltsregister gelöscht wurde, weil er eine der Voraussetzungen für den Registereintrag nicht mehr erfüllte (vgl. vorne Erw. I/2). Ein Wiedereintra- gung ist möglich, sobald der Beschwerdeführer sämtliche Voraussetzun- gen nach Art. 7 BGFA und Art. 8 BGFA (wieder) erfüllt (vgl. ERNST STAEHELIN/CHRISTIAN OETIKER, in: Kommentar zum Anwaltsgesetz, a.a.O., Art. 9 N. 17). Da die Löschung aus dem Anwaltsregister beim Vorliegen von Verlustscheinen gesetzlich ausdrücklich vorgeschrieben ist (Art. 9 i.V.m. Art. 8 Abs. 1 lit. c BGFA), muss nicht näher auf die Frage der Verhältnis- mässigkeit eingegangen werden. Der Vollständigkeit halber rechtfertigt sich immerhin der Hinweis, dass die Verlustscheine zum Teil schon längere Zeit existieren und der Totalbetrag beträchtlich ist. 3. Ein zweiter Schriftenwechsel erübrigt sich, da in Anwendung von § 45 Abs. 1 VRPG auf einen Schriftenwechsel verzichtet wurde (vgl. vorne lit. B/3). Auf die Verfügung des instruierenden Verwaltungsrichters vom 27. Juni 2024, mit welcher dem Beschwerdeführer der aktualisierte Betrei- bungsregisterauszug zugestellt und der Verzicht auf den Schriftenwechsel angezeigt wurde, hat der Beschwerdeführer sodann nicht reagiert. 4. Zusammenfassend ist die Beschwerde abzuweisen, soweit darauf einge- treten wird. 5. Mit dem vorliegenden Entscheid in der Hauptsache wird das Gesuch um aufschiebende Wirkung gegenstandslos.</w:t>
      </w:r>
    </w:p>
    <w:p>
      <w:r>
        <w:t>- 7 -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