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WBE.2024.190 vom 30. Oktober 2024</w:t>
      </w:r>
    </w:p>
    <w:p>
      <w:r>
        <w:t>AG Verwaltungsgericht, 2024-10-30, DE</w:t>
      </w:r>
    </w:p>
    <w:p>
      <w:r>
        <w:rPr>
          <w:b/>
        </w:rPr>
        <w:t xml:space="preserve">Quelle: </w:t>
      </w:r>
      <w:r>
        <w:t>https://mcp.opencaselaw.ch/entscheid/ag_verwaltungsgericht_WBE.2024.190</w:t>
      </w:r>
    </w:p>
    <w:p>
      <w:r>
        <w:t>FR: AG_VERWALTUNGSGERICHT WBE.2024.190 du 30 octobre 2024</w:t>
      </w:r>
    </w:p>
    <w:p>
      <w:r>
        <w:t>IT: AG_VERWALTUNGSGERICHT WBE.2024.190 del 30 ottobre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Beschwerdeführenden hielten in der Replik vom 26. August 2024 an ihren Anträgen fest.</w:t>
      </w:r>
    </w:p>
    <w:p>
      <w:r>
        <w:rPr>
          <w:b/>
        </w:rPr>
        <w:t>E. 3.1</w:t>
      </w:r>
    </w:p>
    <w:p>
      <w:r>
        <w:t>Gemäss Dispositiv-Ziffer II der Verfügung des VeD vom 10. Januar 2024 wurden die Kosten der Verfügung von Fr. 150.00 dem Beschwerdeführer 1</w:t>
      </w:r>
    </w:p>
    <w:p>
      <w:r>
        <w:t>- 8 - auferlegt. In ihrer Verwaltungsbeschwerde verlangten die Beschwerdefüh- renden zur Hauptsache eine Korrektur der Entscheidbegründung; Antrag Ziffer 3 lautete: "Die anfallenden Kosten seien durch den Kanton Aargau zu übernehmen."</w:t>
      </w:r>
    </w:p>
    <w:p>
      <w:r>
        <w:rPr>
          <w:b/>
        </w:rPr>
        <w:t>E. 3.2</w:t>
      </w:r>
    </w:p>
    <w:p>
      <w:r>
        <w:t>Die Beschwerdeführenden stellten vor der Vorinstanz keinen formellen An- trag auf Aufhebung der erstinstanzlichen Verfügung. Ebenso wenig stellten sie einen formellen Antrag auf Aufhebung von Dispositiv-Ziffer II derselben. Vielmehr lässt der Wortlaut von Antrag Ziffer 3 ("die anfallenden Kosten") darauf schliessen, dass er sich nicht auf bereits angefallene (d.h. die Ver- fügungsgebühr von Fr. 150.00), sondern nur auf neu (d.h. im Verfahren vor dem DGS) anfallende Kosten bezog. Auch aus der Begründung der Ver- waltungsbeschwerde ergibt sich kein Hinweis, dass die Auflage der Verfü- gungsgebühr in Frage gestellt werden sollte.</w:t>
      </w:r>
    </w:p>
    <w:p>
      <w:r>
        <w:rPr>
          <w:b/>
        </w:rPr>
        <w:t>E. 3.3</w:t>
      </w:r>
    </w:p>
    <w:p>
      <w:r>
        <w:t>Somit ergibt sich, dass die Auflage der Verwaltungsgebühr nicht Gegen- stand des vorinstanzlichen Verfahrens war und die Vorinstanz sie zu Recht nicht beanstandete (wobei sie eine andere Begründung wählte bzw. von einem Antrag um Aufhebung der Kostenauflage ausging; diesen Antrag wies sie ab, soweit sie darauf eintrat [Erw. 1/d und 2/d]). Somit ist der an- gefochtene Entscheid auch diesbezüglich gerechtfertigt.</w:t>
      </w:r>
    </w:p>
    <w:p>
      <w:r>
        <w:rPr>
          <w:b/>
        </w:rPr>
        <w:t>E. 4</w:t>
      </w:r>
    </w:p>
    <w:p>
      <w:r>
        <w:t>Zusammenfassend erweist sich die Verwaltungsgerichtsbeschwerde als unbegründet und ist abzuweisen.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