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WBE.2024.169 vom 19. Januar 2026</w:t>
      </w:r>
    </w:p>
    <w:p>
      <w:r>
        <w:t>AG Verwaltungsgericht, 2026-01-19, DE</w:t>
      </w:r>
    </w:p>
    <w:p>
      <w:r>
        <w:rPr>
          <w:b/>
        </w:rPr>
        <w:t xml:space="preserve">Quelle: </w:t>
      </w:r>
      <w:r>
        <w:t>https://mcp.opencaselaw.ch/entscheid/ag_verwaltungsgericht_WBE.2024.169</w:t>
      </w:r>
    </w:p>
    <w:p>
      <w:r>
        <w:t>FR: AG_VERWALTUNGSGERICHT WBE.2024.169 du 19 janvier 2026</w:t>
      </w:r>
    </w:p>
    <w:p>
      <w:r>
        <w:t>IT: AG_VERWALTUNGSGERICHT WBE.2024.169 del 19 gennaio 2026</w:t>
      </w:r>
    </w:p>
    <w:p>
      <w:pPr>
        <w:pStyle w:val="Heading2"/>
      </w:pPr>
      <w:r>
        <w:t>Erwägungen</w:t>
      </w:r>
    </w:p>
    <w:p>
      <w:r>
        <w:rPr>
          <w:b/>
        </w:rPr>
        <w:t>E. 3.1</w:t>
      </w:r>
    </w:p>
    <w:p>
      <w:r>
        <w:t>Gegenstand der Gewinnsteuer ist der Reingewinn (§ 67 StG). Der steuer- bare Reingewinn setzt sich ausgehend vom Saldo der Erfolgsrechnung un- ter anderem zusammen aus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 analog Art. 58 Abs. 1 lit. b des Bundesgesetzes über die direkte Bundessteuer [DBG, SR 642.11]; im Bundesgesetz über die Harmonisie- rung der direkten Steuern der Kantone und Gemeinden [Steuerharmonisie- rungsgesetz, StHG, SR 642.14] werden die Begriffe "offene und verdeckte Gewinnausschüttungen" und "geschäftsmässig nicht begründete Zuwen- dungen an Dritte" nicht verwendet, sie werden aber von Art. 24 Abs. 1 lit. a bzw. lit. b StHG erfasst, vgl. OESTERHELT / MÜHLEMANN / BERTSCHINGER, in: Kommentar zum Schweizerischen Steuerrecht, Bundesgesetz über die Harmonisierung der direkten Steuern der Kantone und Gemeinden [StHG- Komm.], 4. Aufl., Zürich 2022, N. 189 zu Art. 24). Der Unterschied zwischen der verdeckten Gewinnausschüttung und den geschäftsmässig nicht be- gründeten Zuwendungen an Dritte besteht darin, dass bei der verdeckten Gewinnausschüttung ausschliesslich geldwerte Vorteile an Beteiligte oder diesen nahestehende Personen erfasst werden sollen. Eine Leistung an unabhängige Dritte oder an eine den Beteiligten nicht nahestehende Per- son kann grundsätzlich nicht als verdeckte Gewinnausschüttung qualifiziert werden (OESTERHELT / MÜHLEMANN / BERTSCHINGER, StHG-Komm., N. 190 f. zu Art. 24). Die Annahme einer verdeckten Gewinnausschüttung setzt gemäss Bun- desgericht voraus, "dass erstens die leistende Kapitalgesellschaft oder Ge- nossenschaft für ihre Leistung keine oder keine gleichwertige</w:t>
      </w:r>
    </w:p>
    <w:p>
      <w:r>
        <w:t>- 19 - Gegenleistung erhält, zweitens die Beteiligungsinhaberin oder der Beteili- gungsinhaber der Kapitalgesellschaft oder Genossenschaft direkt oder in- direkt einen Vorteil erlangt, drittens die Kapitalgesellschaft oder Genossen- schaft diesen Vorteil einem Dritten unter gleichen Bedingungen nicht zuge- standen hätte (Drittvergleich) und viertens der Charakter dieser Leistung – insbesondere das Missverhältnis zur Gegenleistung – für die Organe der Kapitalgesellschaft oder Genossenschaft erkennbar gewesen ist" (Urteil des Bundesgerichts 9C_445/2024, 9C_454/2024 vom 28. März 2025, Erw. 4.1 m. w. H.; siehe auch EISENRING / REGLI, AG-Komm., N. 78 zu § 68 m. w. H.). Ein indirekter Vorteil wird z.B. über eine nahestehende Person oder Unternehmung erlangt (vgl. BGE 144 II 427, Erw. 6.1). Von einer verdeckten Gewinnausschüttung kann nur gesprochen werden, wenn die dahinterstehende Leistung ihren Grund klarerweise im Verhältnis Aktionariat und Gesellschaft hat und das Aktionariat eine an sich ihnen zu- fliessende Leistung quasi weiterleitet (EISENRING / REGLI, AG-Komm., N. 84 zu § 68). Die verdeckte Gewinnausschüttung ist klar abzugrenzen von wirt- schaftlich ungeschickten oder verlustbringenden Transaktionen (OESTERHELT / MÜHLEMANN / BERTSCHINGER, StHG-Komm., N. 194 zu Art. 24). Die verlangte Erkennbarkeit durch die handelnden Organe soll dies verhindern (EISENRING / REGLI, AG-Komm., N. 85 zu § 68). Fliesst der geldwerte Vorteil an eine dem Aktionariat nahestehende Person, ist dieser Vorteil nach der so genannten Dreieckstheorie steuerlich in einem ersten Schritt als Ertrag aus beweglichem Vermögen (verdeckte Gewinn- ausschüttung) auf der Ebene des Beteiligungsinhabers zu erfassen. Von dort fliessen sie weiter an die nahestehende Drittperson. Als dem Aktiona- riat "nahestehend betrachtet die Praxis eine natürliche oder juristische Per- son, die zum beherrschenden Beteiligungsinhaber enge wirtschaftliche oder persönliche, beispielsweise verwandtschaftliche Beziehungen unter- hält. Nahestehend im steuerrechtlichen Sinn sind darüber hinaus Perso- nen, denen der Beteiligungsinhaber gestattet, seine Gesellschaft wie eine eigene zu benutzen" (Urteil des Bundesgerichts 9C_595/2023 vom 23. September 2024, Erw. 2.3 m. w. H.). Gemäss Bundesgericht ist ein Nä- heverhältnis zu einer Beteiligungsinhaberin oder einem Beteiligungsinha- ber vorausgesetzt, weil eine verdeckte Gewinnausschüttung nur dann an- genommen werden kann, wenn die Leistungen ihren Rechtsgrund im Be- teiligungsverhältnis haben (Urteil des Bundesgerichts 9C_621/2022 vom 27. Februar 2023, Erw. 5.6.1). Im Zusammenhang mit geldwerten Leistungen zwischen Schwestergesell- schaften hält das Bundesgericht fest, dass der Vorteil an sich unmittelbar von einer Schwestergesellschaft zur anderen fliesst und das Aktionariat nur mittelbar betroffen ist. Da eine solche geldwerte Leistung zwischen Schwestergesellschaften regelmässig auf dem gemeinsamen Beteili- gungsverhältnis fusst, erweisen sich Zuwendungen an Schwester-</w:t>
      </w:r>
    </w:p>
    <w:p>
      <w:r>
        <w:t>- 20 - gesellschaften als (verdeckte) Gewinnausschüttungen an das Aktionariat einerseits und als (verdeckte) Kapitaleinlagen des Aktionariats an die emp- fangende Gesellschaft andererseits (vgl. statt vieler Urteil des Bundesge- richts 9C_660/2022 vom 10. Mai 2023, Erw. 4.3 m. w. H.). Das schweizeri- sche Steuerrecht kennt keine Konzernsichtweise und behandelt jede Kapi- talgesellschaft oder Genossenschaft als ein rechtlich selbständiges Sub- jekt. Der Konzernleitung (bzw. dem beherrschenden Aktionariat) ist es nicht erlaubt, die von den verschiedenen Gesellschaften erzielten Gewinne frei auf diese Gesellschaften zu verteilen (Urteil des Bundesgerichts 2C_630/2021, 2C_631/2021 vom 17. Mai 2022, Erw. 2.4.4 m. w. H.).</w:t>
      </w:r>
    </w:p>
    <w:p>
      <w:r>
        <w:rPr>
          <w:b/>
        </w:rPr>
        <w:t>E. 3.2</w:t>
      </w:r>
    </w:p>
    <w:p>
      <w:r>
        <w:t>Die Beschwerdeführerin führt aus, dass es keine geldwerte Leistung gab. Sie habe mit dem Kaufrecht an den Aktien eine Gegenleistung erhalten. Zwischen der B._____ AG oder der A._____ AG und N._____ habe kein Nahestehendenverhältnis bestanden. Weiter habe es auch keinen "geld- werten Vorteil" bei der A._____ AG gegeben, indem die L._____ AG als Tochtergesellschaft der H._____ AG ihr Kaufrecht nicht ausgeübt habe. Die Transaktion halte sodann dem Drittvergleich stand und für die Organe sei nicht erkennbar gewesen, wie sich das Geschäft in Bezug auf das erwor- bene Kaufrecht entwickle.</w:t>
      </w:r>
    </w:p>
    <w:p>
      <w:r>
        <w:rPr>
          <w:b/>
        </w:rPr>
        <w:t>E. 3.3</w:t>
      </w:r>
    </w:p>
    <w:p>
      <w:r>
        <w:t>Der Beschwerdeführerin ist insoweit zuzustimmen, dass mit Blick auf das erworbene Kaufrecht durch die B._____ AG und die dabei involvierten Par- teien eine geldwerte Leistung nicht sofort ins Auge springt. So erhält die B._____ AG mit dem Kaufrecht bzw. die H._____ AG mit dem dafür bezahl- ten Kaufrechtspreis von Fr. 600'000.00 grundsätzlich eine Gegenleistung. Entscheidend ist jedoch, dass sich aus den Akten kein Näheverhältnis zwi- schen dem Aktionariat der B._____ AG und der Empfängerin (H._____ AG) ergibt; ein solches legt die Vorinstanz auch nicht dar (vgl. angefochtener Entscheid, Erw. 8.6.2). Eine geldwerte Leistung rein mit Blick auf das durch die B._____ AG erworbene Kaufrecht von der H._____ AG und der dafür bezahlten Fr. 600'000.00 kann nicht angenommen werden.</w:t>
      </w:r>
    </w:p>
    <w:p>
      <w:r>
        <w:rPr>
          <w:b/>
        </w:rPr>
        <w:t>E. 3.4</w:t>
      </w:r>
    </w:p>
    <w:p>
      <w:r>
        <w:t>Auf dieses Ergebnis stützt sich auch die Beschwerdeführerin (vgl. insbe- sondere Rz. 36–57 der Beschwerde). In ihren Ausführungen ignoriert die Beschwerdeführerin jedoch, dass im Ergebnis die beiden Kaufrechte, wel- che sich betraglich entsprechen, dazu führen, dass ein Betrag von Fr. 600'000.00 von der B._____ AG an die A._____ AG fliesst. So bezahlt die B._____ AG für ihr Kaufrecht Fr. 600'000.00 an die H._____ AG, wäh- rend zeitgleich deren Tochtergesellschaft L._____ AG Fr. 600'000.00 für ihr Kaufrecht an die A._____ AG bezahlt.</w:t>
      </w:r>
    </w:p>
    <w:p>
      <w:r>
        <w:t>- 21 - Wie aufgezeigt, sind die beiden Kaufrechte simuliert (vgl. vorne Erw. II/2.3 ff.). Geht man vom dissimulierten Rechtsgeschäft aus, indem man die beiden simulierten Kaufrechte ausblendet bzw. unberücksichtigt lässt, so ist von einer geldwerten Leistung bzw. einer verdeckten Gewinn- ausschüttung auszugehen. Die Zahlung der Fr. 600'000.00 von der B._____ AG an die A._____ AG erfolgte ohne Gegenleistung und ist einzig dem Umstand geschuldet, dass es sich bei den beiden Gesellschaften um Schwestergesellschaften handelt, die von demselben Aktionariat kontrol- liert werden. Im Ergebnis erfolgt eine Gewinnverschiebung zwischen den beiden Schwestergesellschaften, was dem Aktionariat steuerrechtlich nicht freisteht. Bei dieser Sachlage bedürfen die weiteren Voraussetzungen für die Annahme einer verdeckten Gewinnausschüttung keiner ausführlichen Erörterung. Bei geldwerten Leistungen zwischen Schwestergesellschaften liegt im Sinne der Dreieckstheorie einerseits eine (verdeckte) Gewinnaus- schüttungen an das Aktionariat vor und andererseits eine (verdeckte) Ka- pitaleinlagen des Aktionariats an die empfangende Gesellschaft, hier der A._____ AG. Der geschäftsmässig nicht begründete Aufwand von Fr. 600'000.00 ist deshalb bei der B._____ AG zum Reingewinn hinzuzu- rechnen.</w:t>
      </w:r>
    </w:p>
    <w:p>
      <w:r>
        <w:rPr>
          <w:b/>
        </w:rPr>
        <w:t>E. 4.1</w:t>
      </w:r>
    </w:p>
    <w:p>
      <w:r>
        <w:t>Da die Vorinstanz den Sachverhalt unter dem Titel der Steuerumgehung geprüft hat, rechtfertigt sich vorliegend der Hinweis, dass wenn die beiden Kaufrechte nicht als simulierte Rechtsgeschäfte zu qualifizieren wären, das gesamte Konstrukt eine Steuerumgehung darstellen würde.</w:t>
      </w:r>
    </w:p>
    <w:p>
      <w:r>
        <w:rPr>
          <w:b/>
        </w:rPr>
        <w:t>E. 4.2</w:t>
      </w:r>
    </w:p>
    <w:p>
      <w:r>
        <w:t>Nach der bundesgerichtlichen Rechtsprechung liegt eine Steuerumgehung vor, wenn (1.) eine von den Beteiligten gewählte Rechtsgestaltung als un- gewöhnlich ("insolite"), sachwidrig oder absonderlich, jedenfalls den wirt- schaftlichen Gegebenheiten völlig unangemessen erscheint (sog. objekti- ves Element), wenn zudem (2.) anzunehmen ist, dass die gewählte Rechts- gestaltung missbräuchlich lediglich deshalb getroffen wurde, um Steuern einzusparen, die bei sachgemässer Ordnung der Verhältnisse geschuldet wären (sog. subjektives Element), und wenn (3.)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 gen, die sachgerecht gewesen wäre, um den angestrebten wirtschaftlichen Zweck zu erreichen (vgl. statt vieler BGE 149 II 53, Erw. 5.2.1 m. w. H.). Eine Steuerumgehung kommt nur in ganz ausserordentlichen Situationen in Frage, wenn eine Rechtsgestaltung (objektives Element) vorliegt, die –</w:t>
      </w:r>
    </w:p>
    <w:p>
      <w:r>
        <w:t>- 22 - abgesehen von den steuerlichen Aspekten – jenseits des wirtschaftlich Ver- nünftigen liegt. Das subjektive Element erweist sich insofern als entschei- dend, als die Annahme einer Steuerumgehung ausgeschlossen bleibt, wenn andere als blosse Steuerersparnisgründe bei der Rechtsgestaltung eine relevante Rolle spielen (vgl. statt vieler BGE 149 II 53, Erw. 5.2.1 m. w. H.).</w:t>
      </w:r>
    </w:p>
    <w:p>
      <w:r>
        <w:rPr>
          <w:b/>
        </w:rPr>
        <w:t>E. 4.3</w:t>
      </w:r>
    </w:p>
    <w:p>
      <w:r>
        <w:t>Aus denselben Gründen, weshalb eine Simulation angenommen wird, ist vorliegend auch auf eine absonderliche Rechtsgestaltung zu schliessen. Es kann dazu auf die Ausführungen in Erwägung II/2.3 ff. verwiesen wer- den. Auch ergibt sich daraus, dass die gewählte Rechtsgestaltung einzig deshalb gewählt wurde, um die Voraussetzung einer geldwerten Leistung zu umgehen (vgl. diesbezüglich auch vorne Erw. II/3.3 f.); andere Gründe als die Steuerersparnis lassen sich aus der gewählten Rechtsgestaltung und unter Berücksichtigung sämtlicher Indizien nicht schliessen. Würde das gewählte Vorgehen hingenommen, so würde keine verdeckte Gewinnausschüttung vorliegen. Steuerlich würde dies im Ergebnis dazu führen, dass der bei der B._____ AG geltend gemachte Aufwand von Fr. 600'000.00 nicht zum Gewinn hinzugerechnet würde und die B._____ AG somit weniger Gewinnsteuer zahlen müsste. Somit sind alle Vorausset- zungen einer Steuerumgehung erfüllt. Falls die beiden Kaufrechtsverträge nicht als simuliert zu qualifizieren wä- ren, läge folglich eine Steuerumgehung vor. Mit dem gewählten Vorgehen bzw. den beiden kongruenten Kaufrechten umgingen die Parteien eine be- lastende Norm (vorliegend den Tatbestand einer geldwerten Leistung – vgl. vorne Erw. II/3 ff.). Rechtsfolge der Steuerumgehung in einem solchen Fall ist die Sachverhaltsfiktion (vgl. vorne Erw. II/2.1). Der fingierte Sachverhalt würde dem zuvor aufgezeigten dissimulierten Sachverhalt entsprechen (vgl. vorne Erw. II/2.4). Dieser stellt eine geldwerte Leistung dar (vgl. vorne Erw. II/3.4). An der Aufrechnung der Fr. 600'000.00 wäre somit auch dann festzuhalten.</w:t>
      </w:r>
    </w:p>
    <w:p>
      <w:r>
        <w:rPr>
          <w:b/>
        </w:rPr>
        <w:t>E. 5</w:t>
      </w:r>
    </w:p>
    <w:p>
      <w:r>
        <w:t>Die Beschwerdeführerin behauptet aufgrund der langen Verfahrensdauer sich in einer Beweisnot zu befinden. Unter der Beweisnot versteht das Bun- desgericht eine Voraussetzung, welche vorliegen muss, wenn man von der Ausnahme vom Regelbeweismass des strikten Beweises Gebrauch ma- chen will, bei welcher eine überwiegende Wahrscheinlichkeit als ausrei- chend betrachtet wird (Urteil des Bundesgerichts 4A_589/2024 vom 23. April 2025, Erw. 3.1.2 m. w. H.). Es ist nicht ersichtlich, inwiefern dies vorliegend von Relevanz sein sollte. Die Beweisnot macht die Beschwerdeführerin in Bezug auf Tatsachen</w:t>
      </w:r>
    </w:p>
    <w:p>
      <w:r>
        <w:t>- 23 - geltend, welche belegen sollten, warum die B._____ AG ihr Kaufrecht nicht ausgeübt hat (vgl. Beschwerde, Rz. 23). Die Beschwerdeführerin verkennt jedoch, dass es vorliegend nicht allein um die Frage geht, weshalb das Kaufrecht durch die B._____ AG nicht ausgeübt wurde, sondern um die gewählte Rechtsgestaltung an sich bzw. insbesondere um die voranste- hend aufgelisteten Indizien. In Bezug auf diese wäre es der Beschwerde- führerin ohne Weiteres möglich gewesen, diese mit schlüssigen Begrün- dungen zu widerlegen bzw. aufzuzeigen, weshalb die gewählte Rechtsge- staltung keiner Simulation oder Steuerumgehung entspricht.</w:t>
      </w:r>
    </w:p>
    <w:p>
      <w:r>
        <w:rPr>
          <w:b/>
        </w:rPr>
        <w:t>E. 6</w:t>
      </w:r>
    </w:p>
    <w:p>
      <w:r>
        <w:t>Nach dem Ausgeführten erweist sich die Beschwerde als unbegründet und ist vollumfänglich abzuweisen. III. 1. Im Beschwerdeverfahren werden die Verfahrenskosten und die Parteikos- ten in der Regel nach Massgabe des Unterliegens und Obsiegens auf die Parteien verlegt (§ 189 Abs. 1 und 2 StG; § 31 Abs. 2 und § 32 Abs. 2 VRPG). 2. Zufolge vollständigen Unterliegens sind die Verfahrenskosten vollumfäng- lich der Beschwerdeführerin aufzuerlegen. In der Verwaltungsrechtspflege betragen die Staatsgebühren für das Verfahren vor dem Verwaltungsge- richt Fr. 500.00 bis Fr. 30'000.00 (§ 22 Abs. 1 lit. c des Dekrets über die Verfahrenskosten vom 24. November 1987 [Verfahrenskostendekret, VKD; SAR 221.150] i. V. m. § 29 des Gebührendekrets vom 19. September 2023 [GebührD; SAR 662.110]). Innerhalb dieses Rahmens bemisst sich die Staatsgebühr nach dem Zeitaufwand und der Bedeutung der Sache (§ 3 Abs. 1 VKD). Die Staatsgebühr wird unter Berücksichtigung des Zeitaufwands und der Bedeutung der Sache (Streitwert von rund Fr. 81'000.00) auf Fr. 5'900.00 festgelegt. Für die Kanzleigebühr und die Auslagen wird auf §§ 25 ff. VKD verwiesen. 3. Ein Parteikostenersatz fällt ausser Betracht (Umkehrschluss aus § 189 Abs. 2 StG).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