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WBE.2024.117 vom 30. August 2024</w:t>
      </w:r>
    </w:p>
    <w:p>
      <w:r>
        <w:t>AG Verwaltungsgericht, 2024-08-30, DE</w:t>
      </w:r>
    </w:p>
    <w:p>
      <w:r>
        <w:rPr>
          <w:b/>
        </w:rPr>
        <w:t xml:space="preserve">Quelle: </w:t>
      </w:r>
      <w:r>
        <w:t>https://mcp.opencaselaw.ch/entscheid/ag_verwaltungsgericht_WBE.2024.117</w:t>
      </w:r>
    </w:p>
    <w:p>
      <w:r>
        <w:t>FR: AG_VERWALTUNGSGERICHT WBE.2024.117 du 30 août 2024</w:t>
      </w:r>
    </w:p>
    <w:p>
      <w:r>
        <w:t>IT: AG_VERWALTUNGSGERICHT WBE.2024.117 del 30 agosto 2024</w:t>
      </w:r>
    </w:p>
    <w:p>
      <w:pPr>
        <w:pStyle w:val="Heading2"/>
      </w:pPr>
      <w:r>
        <w:t>Erwägungen</w:t>
      </w:r>
    </w:p>
    <w:p>
      <w:r>
        <w:rPr>
          <w:b/>
        </w:rPr>
        <w:t>E. 3</w:t>
      </w:r>
    </w:p>
    <w:p>
      <w:r>
        <w:t>Mit freigestellter Replik vom 22. Mai 2024 hielt die Beschwerdeführerin an ihren Anträgen fest.</w:t>
      </w:r>
    </w:p>
    <w:p>
      <w:r>
        <w:rPr>
          <w:b/>
        </w:rPr>
        <w:t>E. 3.1</w:t>
      </w:r>
    </w:p>
    <w:p>
      <w:r>
        <w:t>Gemäss § 43 Abs. 2 VRPG muss die Beschwerdeschrift einen Antrag so- wie eine Begründung enthalten. Es ist darzulegen, in welchen Punkten und aus welchen Gründen der angefochtene Entscheid nach Auffassung der Beschwerdeführerin Mängel aufweist (Aargauische Gerichts- und Verwal- tungsentscheide [AGVE] 2003, S. 105, Erw. 3d). Mit anderen Worten hat die Beschwerdeführerin mit dem Antrag darzulegen, welche Punkte des vorinstanzlichen Entscheiddispositivs sie abgeändert haben will (MERKER, a.a.O., § 39 N. 5). Mit der Begründung ist darzulegen, in welchen Punkten nach Auffassung der Beschwerdeführerin der angefochtene Entscheid feh- lerhaft ist (MERKER, a.a.O., § 39 N. 39). Bei Laienbeschwerden werden an die Begründung zwar keine allzu hohen Anforderungen gestellt, immerhin wird aber verlangt, dass die Beschwerdeführerin darlegt, weshalb sie mit dem vorinstanzlichen Entscheid nicht einverstanden ist und welche Erwä- gungen des angefochtenen Entscheids aus welchen Gründen nicht zutref- fen sollen (AGVE 2009, S. 275, Erw. 3.1; Entscheid des Verwaltungsge- richts WBE.2021.182 vom 14. Juni 2021, Erw. I/2.1). Auf Beschwerden, die diese Anforderungen nicht erfüllen, ist nicht einzutreten (§ 43 Abs. 2 VRPG).</w:t>
      </w:r>
    </w:p>
    <w:p>
      <w:r>
        <w:rPr>
          <w:b/>
        </w:rPr>
        <w:t>E. 3.2</w:t>
      </w:r>
    </w:p>
    <w:p>
      <w:r>
        <w:t>Die Beschwerdeführerin beantragt die Aufhebung des Regierungsratsent- scheids. Dieser hält im Dispositiv neben der Abweisung der Rechtsverwei- gerungsbeschwerde auch das Nichteintreten auf das Ausstandsgesuch fest (vgl. vorne lit. B/2). In ihrer Beschwerde und Replik setzt sich die Be- schwerdeführerin jedoch einzig und allein mit der Thematik der Rechtsver- weigerung/Rechtsverzögerung auseinander. Zu den Erwägungen über das gestellte Ausstandsgesuch äussert sie sich nicht und legt folglich auch nicht dar, inwiefern sie mit diesen nicht einverstanden ist. Da es in Bezug auf die Frage des Ausstands an einer genügenden Begründung der Beschwerde mangelt, darf insofern nicht darauf eingetreten werden (§ 43 Abs. 2 VRPG).</w:t>
      </w:r>
    </w:p>
    <w:p>
      <w:r>
        <w:rPr>
          <w:b/>
        </w:rPr>
        <w:t>E. 4</w:t>
      </w:r>
    </w:p>
    <w:p>
      <w:r>
        <w:t>Auflage, Zürich/St. Gallen 2023, Art. 29 N. 30).</w:t>
      </w:r>
    </w:p>
    <w:p>
      <w:r>
        <w:rPr>
          <w:b/>
        </w:rPr>
        <w:t>E. 4.1</w:t>
      </w:r>
    </w:p>
    <w:p>
      <w:r>
        <w:t>Das Rubrum des Entscheids des DVI, Generalsekretariat, vom 22. April 2021 lautet wie folgt: Verfügung betreffend Beanspruchung von Härtefallmassnahmen gemäss Sonderverordnung 2 zur Abfederung der wirtschaftlichen Auswirkungen der COVID-19-Pandemie</w:t>
      </w:r>
    </w:p>
    <w:p>
      <w:r>
        <w:t>- 7 - In Sachen A._____ AG Fallnummer 200583 nachfolgend Gesuchstellerin betreffend Gesuch um Härtefallmassnahmen In der Folge wurde das Gesuch gestützt auf § 7a SonderV 20-2 geprüft und schliesslich abgewiesen. Es fehlt jeder Hinweis darauf, dass es sich dabei lediglich um einen Teilentscheid handeln würde bzw. dass Entscheide ge- stützt auf zusätzliche gesetzliche Grundlagen vorbehalten blieben. Entsprechend ergibt sich, dass mit dem erwähnten Entscheid des DVI, Ge- neralsekretariat, das unter der Fallnummer 200583 registrierte Gesuch als Ganzes behandelt, nach Massgabe von § 7a SonderV 20-2 geprüft und schliesslich abgewiesen wurde. Im anschliessenden Rechtsmittelverfahren wurde auf die Verwaltungsbeschwerde bzw. die Verwaltungsgerichtsbe- schwerde nicht eingetreten, soweit darin Härtefallmassnahmen nach §§ 7b, 7c und 7d beantragt wurden; im Übrigen wurde die Beschwerde abgewie- sen. Damit ist der erstinstanzliche Entscheid vom 22. April 2021 rechtskräf- tig geworden. Ein Anspruch auf Wiedererwägung wird nicht behauptet und ist nicht ersichtlich. Demzufolge hat die Beschwerdeführerin keinen An- spruch auf eine (erneute) Prüfung ihres unter der Fallnummer 200583 re- gistrierten Gesuchs um Härtefallmassnahmen vom 20. Januar 2021. Der in diesem Zusammenhang erhobene Vorwurf der Rechtsverweigerung bzw. Rechtsverzögerung ist somit nicht gerechtfertigt.</w:t>
      </w:r>
    </w:p>
    <w:p>
      <w:r>
        <w:rPr>
          <w:b/>
        </w:rPr>
        <w:t>E. 4.2</w:t>
      </w:r>
    </w:p>
    <w:p>
      <w:r>
        <w:t>Der Vollständigkeit halber rechtfertigen sich folgende Hinweise: Der Antrag auf Härtefallmassnahmen (Fallnummer 200583) wurde am 20. Januar 2021 gestellt und registriert. Zu diesem Zeitpunkt waren ledig- lich §§ 7a und 7b SonderV 20-2 in Kraft (§ 7b wurde mit der Änderung vom 20. Januar 2021 eingefügt; die Inkraftsetzung erfolgte rückwirkend per 14. Januar 2021; AGS 2021/01-01). §§ 7c und 7d SonderV 20-2 (Änderung vom 24. März 2021; Inkrafttreten am 1. April 2021; AGS 2021/03-01) traten erst nach Gesuchseinreichung in Kraft und fielen daher als anwendbare Gesetzesgrundlagen von vornherein ausser Betracht. Dass das DVI, Ge- neralsekretariat, in seinem Entscheid auch nicht auf § 7b SonderV 20-2 einging, lässt sich ohne Weiteres nachvollziehen, wurden doch im Gesuch keine Angaben zu einer allfälligen Betriebsschliessung (im Sinne dieser Bestimmung) gemacht. Tatsächlich erfolgte dies erst mit dem separaten Gesuch der Beschwerdeführerin vom 15. April 2022 (registriert unter der Fallnummer 500064), das jedoch nicht Gegenstand des vorliegenden Ver- fahrens ist (vgl. vorne Erw. I/2.1). Das Vorgehen des DVI, Generalsekreta-</w:t>
      </w:r>
    </w:p>
    <w:p>
      <w:r>
        <w:t>- 8 - riat, von einem Gesuch allein betreffend Härtefallmassnahmen nach § 7a SonderV 20-2 auszugehen, ist daher nicht zu beanstanden. Das Gesuch wurde seinerzeit abgewiesen mit der Begründung, dass es aufgrund fehlender Angaben und der Verletzung der Mitwirkungspflicht nicht behandelt werden könne und dass die Beschwerdeführerin sich am 15. März 2020 in einem Betreibungsverfahren für Sozialversicherungsbei- träge befunden habe, womit die Voraussetzung von Art. 4 Abs. 2 lit. b der Verordnung über Härtefallmassnahmen für Unternehmen im Zusammen- hang mit der Covid-19-Epidemie vom 25. November 2020 (Covid-19-Här- tefallverordnung; SR 951.262) nicht erfüllt sei. Die Voraussetzungen für Härtefallmassnahmen gestützt auf §§ 7b, 7c und 7d SonderV 20-2 hätten letztlich aus denselben Gründen verneint werden müssen.</w:t>
      </w:r>
    </w:p>
    <w:p>
      <w:r>
        <w:rPr>
          <w:b/>
        </w:rPr>
        <w:t>E. 5</w:t>
      </w:r>
    </w:p>
    <w:p>
      <w:r>
        <w:t>Zusammenfassend erweist sich die Beschwerde als unbegründet und ist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