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WBE.2023.70 vom 10. Mai 2023</w:t>
      </w:r>
    </w:p>
    <w:p>
      <w:r>
        <w:t>AG Verwaltungsgericht, 2023-05-10, DE</w:t>
      </w:r>
    </w:p>
    <w:p>
      <w:r>
        <w:rPr>
          <w:b/>
        </w:rPr>
        <w:t xml:space="preserve">Quelle: </w:t>
      </w:r>
      <w:r>
        <w:t>https://mcp.opencaselaw.ch/entscheid/ag_verwaltungsgericht_WBE.2023.70</w:t>
      </w:r>
    </w:p>
    <w:p>
      <w:r>
        <w:t>FR: AG_VERWALTUNGSGERICHT WBE.2023.70 du 10 mai 2023</w:t>
      </w:r>
    </w:p>
    <w:p>
      <w:r>
        <w:t>IT: AG_VERWALTUNGSGERICHT WBE.2023.70 del 10 maggio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Gestützt darauf habe die Bauherrschaft gemäss Einwendungsantrag vom 22.05.2022 die "technischen Massnahmen" nachzureichen (Beilage C).</w:t>
      </w:r>
    </w:p>
    <w:p>
      <w:r>
        <w:t>- 3 -</w:t>
      </w:r>
    </w:p>
    <w:p>
      <w:r>
        <w:rPr>
          <w:b/>
        </w:rPr>
        <w:t>E. 4</w:t>
      </w:r>
    </w:p>
    <w:p>
      <w:r>
        <w:t>Bei diesem Ausgang des Verfahrens wird die Beschwerdeführerin kosten- pflichtig (§ 31 Abs. 2 VRPG). Parteikosten sind keine zu ersetzen (§ 32 Abs. 2 i.V.m. § 29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