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WBE.2023.59 vom 2. November 2023</w:t>
      </w:r>
    </w:p>
    <w:p>
      <w:r>
        <w:t>AG Verwaltungsgericht, 2023-11-02, DE</w:t>
      </w:r>
    </w:p>
    <w:p>
      <w:r>
        <w:rPr>
          <w:b/>
        </w:rPr>
        <w:t xml:space="preserve">Quelle: </w:t>
      </w:r>
      <w:r>
        <w:t>https://mcp.opencaselaw.ch/entscheid/ag_verwaltungsgericht_WBE.2023.59</w:t>
      </w:r>
    </w:p>
    <w:p>
      <w:r>
        <w:t>FR: AG_VERWALTUNGSGERICHT WBE.2023.59 du 2 novembre 2023</w:t>
      </w:r>
    </w:p>
    <w:p>
      <w:r>
        <w:t>IT: AG_VERWALTUNGSGERICHT WBE.2023.59 del 2 novembre 2023</w:t>
      </w:r>
    </w:p>
    <w:p>
      <w:pPr>
        <w:pStyle w:val="Heading2"/>
      </w:pPr>
      <w:r>
        <w:t>Erwägungen</w:t>
      </w:r>
    </w:p>
    <w:p>
      <w:r>
        <w:rPr>
          <w:b/>
        </w:rPr>
        <w:t>E. 2</w:t>
      </w:r>
    </w:p>
    <w:p>
      <w:r>
        <w:t>Kammer WBE.2023.59 / ew / we ZEMIS [***] (E.2022.004) Art. 86 Urteil vom 2. November 2023 Besetzung Verwaltungsrichter Busslinger, Vorsitz Verwaltungsrichter Clavadetscher Verwaltungsrichterin Kiefer Gerichtsschreiberin William Beschwerde- A._____, von Kosovo führer gegen Amt für Migration und Integration Kanton Aargau, Rechtsdienst, Bahnhofplatz 3C, 5001 Aarau Gegenstand Beschwerdeverfahren betreffend Nichtverlängerung der Aufenthaltsbewilligung und Wegweisung Entscheid des Amtes für Migration und Integration vom 24. Januar 2023</w:t>
      </w:r>
    </w:p>
    <w:p>
      <w:r>
        <w:t>- 2 - Das Verwaltungsgericht entnimmt den Akten: A. Der Beschwerdeführer heiratete am 6. November 2008 im Kosovo eine in der Schweiz niederlassungsberechtigte Landsfrau, reiste am 1. April 2009 in die Schweiz ein und erhielt am 8. Mai 2009 im Rahmen des Familien- nachzugs eine Aufenthaltsbewilligung (Akten des Amts für Migration und Integration [MI-act.] 18, 22 ff., 27, 29 f., 31). Diese wurde in der Folge je- weils verlängert, letztmals bis zum 30. April 2020 (MI-act. 202). Aus der Ehe gingen die gemeinsamen Söhne B._____ (geb. tt.mm.jjjj) und C._____ (geb. tt.mm.jjjj) hervor, welche ebenfalls kosovarische Staatsangehörige und wie ihre Mutter im Besitz der Niederlassungsbewilli- gung sind (MI-act. 244). In den Jahren 2013 bis 2015 wurde der Beschwerdeführer wiederholt straf- fällig, insbesondere wegen fahrlässigen Fahrens eines Motorfahrzeugs ohne Berechtigung, Tätlichkeiten, mehrfacher Widerhandlung gegen ein gerichtliches Verbot sowie mehrfacher Widerhandlung gegen das Bundes- gesetz über die Personenbeförderung vom 20. März 2009 (PBG, SR 745.1). So erwirkte er zwischen Mai 2013 und September 2015 sechs Strafbefehle gegen sich, mit denen er zu einer bedingten Geldstrafe von 10 Tagessätzen à Fr. 100.00 und zu Bussen von insgesamt Fr. 1'500.00 verurteilt wurde (MI-act. 55 ff., 76 f., 91 f., 93 ff., 113 f., 122 ff.). Nachdem sich die Eheleute am 6. November 2014 freiwillig getrennt hatten (MI-act. 301 f.), forderte das Amt für Migration und Integration Kanton Aar- gau (MIKA) den Beschwerdeführer am 19. Mai 2015 auf, die Gesuchsun- terlagen betreffend Erteilung einer Aufenthaltsbewilligung nach Auflösung der Ehe oder der Familiengemeinschaft einzureichen. Dieser Aufforderung kam der Beschwerdeführer erst nach mehrmaliger Ermahnung vollständig nach (vgl. MI-act. 89 f., 96 f., 99 ff., 104 ff., 108 f., 120). Daraufhin verlängerte das MIKA die Aufenthaltsbewilligung des Beschwer- deführers mit Verfügung vom 1. März 2016 bis zum 30. April 2017. Eine weitere Verlängerung knüpfte es derweil an die Auflagen, dass der Be- schwerdeführer aktiv seinen Willen zur Teilnahme am Wirtschaftsleben be- kunde, er den finanziellen Verpflichtungen gegenüber seinen Kindern re- gelmässig nachkomme, das Besuchsrecht wahrnehme und seine Deutsch- kenntnisse durch Vorlegen eines Diploms nachweise (MI-act. 150 ff.). Ab dem Jahr 2016 wurde der Beschwerdeführer erneut straffällig und wie folgt verurteilt:</w:t>
      </w:r>
    </w:p>
    <w:p>
      <w:r>
        <w:t>- 3 - - Mit Strafbefehl der Staatsanwaltschaft Baden vom 9. Mai 2016 wegen Parkierens innerhalb des signalisierten Parkverbots bis 2 Stunden zu einer Busse von Fr. 40.00 (MI-act. 162); - mit Strafbefehl der Staatsanwaltschaft Baden vom 4. Juli 2016 wegen Überschreitens der zulässigen Parkzeit bis 2 Stunden zu einer Busse von Fr. 40.00 (MI-act. 164 f.); - mit Strafbefehl der Staatsanwaltschaft Baden vom 15. September 2016 wegen Überschreitens allgemeiner, fahrzeugbedingter oder signalisier- ter Höchstgeschwindigkeit nach Abzug der vom ASTRA festgelegten Geräte- und Messunsicherheit innerorts sowie wegen Ungehorsams des Schuldners in Betreibungs- und Konkursverfahren zu einer Busse von Fr. 420.00 (MI-act. 168 f.); - mit Strafbefehl der Staatsanwaltschaft Baden vom 14. November 2016 wegen mehrfacher Widerhandlung gegen das PBG zu einer Busse von Fr. 200.00 (MI-act. 170 f.); - mit Strafbefehl der Staatsanwaltschaft Baden vom 30. Januar 2017 wegen Führens eines nicht betriebssicheren Fahrzeugs zu einer Busse von Fr. 200.00 (MI-act. 172 f.); - mit Strafbefehl der Staatsanwaltschaft Baden vom 24. August 2017 wegen Widerhandlung gegen ein gerichtliches Verbot zu einer Busse von Fr. 80.00 (MI-act. 177 f.); - mit Strafbefehl der Staatsanwaltschaft Baden vom 3. August 2018 wegen Nichtbeachtens des Vorschriftssignals "Verbot für Motorwagen" zu einer Busse von Fr. 100.00 (MI-act. 182 f.); - mit Strafbefehl der Staatsanwaltschaft Abteilung 2 Emmen vom 9. Au- gust 2018 wegen Überfahrens einer Sicherheitslinie und Missachtens eines Vorschriftssignals zu einer Busse von Fr. 150.00 (MI-act. 184 f.); - mit Strafbefehl der Staatsanwaltschaft Baden vom 10. Dezember 2018 wegen mehrfachen Missbrauchs von Ausweisen und Schildern zu einer bedingten Geldstrafe von 20 Tagessätzen zu je Fr. 100.00 bei einer Probezeit von drei Jahren und einer Busse von Fr. 500.00 (MI- act. 196 f.); - mit Strafbefehl der Staatsanwaltschaft Baden vom 12. März 2019 wegen Ungehorsams gegen amtliche Verfügungen zu einer Busse von Fr. 300.00 (MI-act. 198 f.); - mit Strafbefehl der Staatsanwaltschaft Baden vom 9. September 2019 wegen mehrfachen Missbrauchs von Ausweisen und Schildern zu einer unbedingten Geldstrafe von 40 Tagessätzen zu je Fr. 90.00 (MI- act. 209 f.); - mit Strafbefehl der Staatsanwaltschaft Baden vom 10. September 2019 wegen Widerhandlung gegen ein gerichtliches Verbot zu einer Busse von Fr. 240.00 (MI-act. 212 f.); - mit Strafbefehl der Staatsanwaltschaft Baden vom 26. November 2019 wegen Ungehorsams gegen amtliche Verfügungen zu einer Busse von Fr. 300.00 (MI-act. 214 f.);</w:t>
      </w:r>
    </w:p>
    <w:p>
      <w:r>
        <w:t>- 4 - - mit Strafbefehl der Staatsanwaltschaft Baden vom 23. März 2020 wegen Missbrauchs von Ausweisen und Schildern zu einer unbeding- ten Geldstrafe von 20 Tagessätzen à Fr. 100.00 (MI-act. 236 ff.); - mit Strafbefehl der Staatsanwaltschaft Baden vom 7. Dezember 2020 wegen mehrfacher Unterlassung der Buchführung, mehrfacher Miss- wirtschaft sowie der Gläubigerschädigung durch Vermögensminderung zu einer Geldstrafe von 180 Tagessätzen à Fr. 30.00, bedingt aufge- schoben bei einer Probezeit von drei Jahren, und einer Busse von Fr. 1'500.00 (MI-act. 260 ff.); - mit Strafbefehl der Staatsanwaltschaft Rheinfelden-Laufenburg vom 25. Februar 2021 wegen Mitführens eines nicht gesicherten Kindes unter 12 Jahren zu einer Busse von Fr. 60.00 (MI-act. 307 ff.). Der Beschwerdeführer ist zudem verschuldet: Laut Betreibungsregister- auszug seines ersten Wohnsitzes in S._____ vom 3. Februar 2021 waren zu diesem Zeitpunkt keine laufenden Betreibungen gegen den Be- schwerdeführer registriert, jedoch nicht getilgte Verlustscheine in der Höhe von insgesamt Fr. 4'643.15 (MI-act. 292 ff.). In Q._____, wo der Be- schwerdeführer noch bis zu seinem Wegzug nach R._____ per</w:t>
      </w:r>
    </w:p>
    <w:p>
      <w:r>
        <w:rPr>
          <w:b/>
        </w:rPr>
        <w:t>E. 6</w:t>
      </w:r>
    </w:p>
    <w:p>
      <w:r>
        <w:t>Zusammenfassend steht fest, dass der Beschwerdeführer mit seiner mut- willigen Verschuldung sowie seiner wiederholten Straffälligkeit einen Widerrufs- bzw. Nichtverlängerungsgrund im Sinne von Art. 62 Abs. 1 lit. c AIG gesetzt hat und das öffentliche Interesse an der Beendigung seines Aufenthalts und seiner Wegweisung aus der Schweiz in Anbetracht der konkreten Umstände als gross zu veranschlagen ist. Diesem grossen öffentlichen Interesse steht lediglich ein mittleres bis grosses privates Inte- resse gegenüber, welches sich insbesondere aus den persönlichen und fa- miliären Nachteilen ergibt. Aufgrund des überwiegenden öffentlichen Inte- resses an der Nichtverlängerung der Aufenthaltsbewilligung und der Weg- weisung des Beschwerdeführers aus der Schweiz erweisen sich die Mass- nahmen zudem als verhältnismässig. Sie halten auch vor Art. 8 EMRK und Art. 13 Abs. 1 BV stand. Da sich auch der Vollzug der Wegweisung als zu- lässig erweist, ist die Beschwerde abzuweisen. III. Im Beschwerdeverfahren werden die Verfahrenskosten nach Massgabe des Unterliegens und Obsiegens auf die Parteien verlegt (§ 31 Abs. 2 VRPG). Nachdem der Beschwerdeführer unterliegt, gehen die Kosten des verwaltungsgerichtlichen Verfahrens zu seinen Lasten. Ein Parteikosten- ersatz fällt ausser Betracht (§ 32 Abs. 2 VRPG).</w:t>
      </w:r>
    </w:p>
    <w:p>
      <w:r>
        <w:t>- 16 -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