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AG_VERWALTUNGSGERICHT WBE.2023.48 vom 28. September 2023</w:t>
      </w:r>
    </w:p>
    <w:p>
      <w:r>
        <w:t>AG Verwaltungsgericht, 2023-09-28, DE</w:t>
      </w:r>
    </w:p>
    <w:p>
      <w:r>
        <w:rPr>
          <w:b/>
        </w:rPr>
        <w:t xml:space="preserve">Quelle: </w:t>
      </w:r>
      <w:r>
        <w:t>https://mcp.opencaselaw.ch/entscheid/ag_verwaltungsgericht_WBE.2023.48</w:t>
      </w:r>
    </w:p>
    <w:p>
      <w:r>
        <w:t>FR: AG_VERWALTUNGSGERICHT WBE.2023.48 du 28 septembre 2023</w:t>
      </w:r>
    </w:p>
    <w:p>
      <w:r>
        <w:t>IT: AG_VERWALTUNGSGERICHT WBE.2023.48 del 28 settembre 2023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Anlässlich einer Stichprobenkontrolle vom 13. Januar 2022 erhob der Le- bensmittelinspektor bei der A._____ AG in Q._____ den Spirituosen- umsatz. Dabei wurde der Bewilligungsinhaberin mitgeteilt, dass in der Selbstdeklaration neben dem Umsatz des Abholschalters in Q._____ auch derjenige des Online-Handels hätte angegeben werden müssen. Am da- rauf folgenden Tag übermittelte die A._____ AG dem AVS die einver- langten Spirituosenumsätze.</w:t>
      </w:r>
    </w:p>
    <w:p>
      <w:r>
        <w:rPr>
          <w:b/>
        </w:rPr>
        <w:t>E. 4</w:t>
      </w:r>
    </w:p>
    <w:p>
      <w:r>
        <w:t>Das Verwaltungsgericht hat den Fall am 28. September 2023 beraten und entschieden. Das Verwaltungsgericht zieht in Erwägung: 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