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WBE.2023.437 vom 28. August 2024</w:t>
      </w:r>
    </w:p>
    <w:p>
      <w:r>
        <w:t>AG Verwaltungsgericht, 2024-08-28, DE</w:t>
      </w:r>
    </w:p>
    <w:p>
      <w:r>
        <w:rPr>
          <w:b/>
        </w:rPr>
        <w:t xml:space="preserve">Quelle: </w:t>
      </w:r>
      <w:r>
        <w:t>https://mcp.opencaselaw.ch/entscheid/ag_verwaltungsgericht_WBE.2023.437</w:t>
      </w:r>
    </w:p>
    <w:p>
      <w:r>
        <w:t>FR: AG_VERWALTUNGSGERICHT WBE.2023.437 du 28 août 2024</w:t>
      </w:r>
    </w:p>
    <w:p>
      <w:r>
        <w:t>IT: AG_VERWALTUNGSGERICHT WBE.2023.437 del 28 agosto 2024</w:t>
      </w:r>
    </w:p>
    <w:p>
      <w:pPr>
        <w:pStyle w:val="Heading2"/>
      </w:pPr>
      <w:r>
        <w:t>Erwägungen</w:t>
      </w:r>
    </w:p>
    <w:p>
      <w:r>
        <w:rPr>
          <w:b/>
        </w:rPr>
        <w:t>E. 2</w:t>
      </w:r>
    </w:p>
    <w:p>
      <w:r>
        <w:t>Es werden keine Gebühren erhoben.</w:t>
      </w:r>
    </w:p>
    <w:p>
      <w:r>
        <w:rPr>
          <w:b/>
        </w:rPr>
        <w:t>E. 2.1</w:t>
      </w:r>
    </w:p>
    <w:p>
      <w:r>
        <w:t>Gemäss Art. 2 Abs. 2 AIG i.V.m. Art. 12 des Abkommens zwischen der Schweizerischen Eidgenossenschaft einerseits und der Europäischen Ge- meinschaft und ihren Mitgliedstaaten andererseits über die Freizügigkeit vom 21. Juni 1999 (FZA; SR 0.142.112.681) gilt das AIG für Staatsange- hörige der Mitgliedstaaten der Europäischen Union und ihre Familienange- hörigen sowie für entsandte Arbeitnehmer nur insoweit, als das FZA keine abweichenden Bestimmungen enthält oder das AIG eine vorteilhaftere Rechtsstellung vorsieht. Staatsangehörige der EU mit rechtmässigem Auf- enthalt in der Schweiz dürfen hierbei nicht aufgrund ihrer Staatsangehörig- keit diskriminiert werden (Art. 2 FZA).</w:t>
      </w:r>
    </w:p>
    <w:p>
      <w:r>
        <w:rPr>
          <w:b/>
        </w:rPr>
        <w:t>E. 2.2.1</w:t>
      </w:r>
    </w:p>
    <w:p>
      <w:r>
        <w:t>Die Beschwerdeführerin ist als Kroatin Staatsangehörige eines Mitglied- staats der Europäischen Union und kann sich, nachdem sie in der Schweiz erwerbstätig ist, nicht nur auf die Bestimmungen des AIG, sondern auch auf jene des FZA berufen. Grundsätzlich hat sie demnach einerseits ge- mäss Art. 3 Abs. 2 lit. a Anhang I FZA einen freizügigkeitsrechtlichen An- spruch auf den Nachzug ihres bosnischen Ehegatten. Andererseits ergibt sich ein entsprechendes Nachzugsrecht auch aufgrund der inländischen Nachzugsbestimmungen, welche vorliegend jedoch keine bessere Rechts- stellung als das Freizügigkeitsrecht einräumen.</w:t>
      </w:r>
    </w:p>
    <w:p>
      <w:r>
        <w:t>- 8 -</w:t>
      </w:r>
    </w:p>
    <w:p>
      <w:r>
        <w:rPr>
          <w:b/>
        </w:rPr>
        <w:t>E. 2.2.2</w:t>
      </w:r>
    </w:p>
    <w:p>
      <w:r>
        <w:t>Mit Blick auf das FZA dürfen gemäss Art. 5 Anhang I FZA die aus dem Ab- kommen eingeräumten Rechte nur durch Massnahmen eingeschränkt wer- den, welche aus Gründen der öffentlichen Ordnung, Sicherheit und Ge- sundheit gerechtfertigt sind. Als Massnahmen im Sinne von Art. 5 Abs. 1 Anhang I FZA gelten alle Handlungen, die das Recht auf freie Einreise und Aufenthalt berühren; hierunter fällt auch die Verweigerung freizügigkeits- rechtlicher Nachzugsrechte. Somit ist für den vorliegend zu beurteilenden Familiennachzug nebst dem AIG auch Art. 5 Anhang I FZA massgebend, soweit das Gesuch im nachfolgenden Sinne überhaupt materiell zu prüfen ist.</w:t>
      </w:r>
    </w:p>
    <w:p>
      <w:r>
        <w:rPr>
          <w:b/>
        </w:rPr>
        <w:t>E. 2.2.3</w:t>
      </w:r>
    </w:p>
    <w:p>
      <w:r>
        <w:t>Wie bereits in der Prozessgeschichte dargelegt wurde, ist der Ehemann der Beschwerdeführerin in der Schweiz wiederholt straffällig geworden und ins- besondere wegen qualifizierter Drogendelikte zu einer 22-monatigen Frei- heitsstrafe verurteilt worden, weshalb seine Aufenthaltsbewilligung nicht verlängert und er mit Urteil des Bundesgerichts 2C_445/2019 vom 7. Au- gust 2019 rechtskräftig aus der Schweiz weggewiesen wurde. Das Bun- desgericht hielt in seinem damaligen Entscheid fest, dass die vom Ehe- mann begangenen (qualifizierten) Betäubungsmitteldelikte eine hinrei- chend schwere und gegenwärtige Gefährdung der öffentlichen Ordnung, Sicherheit oder Gesundheit im Sinn von Art. 5 Anhang I FZA darstellten, weshalb die Nichtverlängerung der Aufenthaltsbewilligung auch unter frei- zügigkeitsrechtlichen Aspekten zulässig erscheine.</w:t>
      </w:r>
    </w:p>
    <w:p>
      <w:r>
        <w:rPr>
          <w:b/>
        </w:rPr>
        <w:t>E. 2.3.1</w:t>
      </w:r>
    </w:p>
    <w:p>
      <w:r>
        <w:t>Auch wenn über das Aufenthaltsrecht des Ehemannes bereits rechtskräftig entschieden wurde, kann grundsätzlich jederzeit ein neues Bewilligungs- bzw. Nachzugsgesuch eingereicht werden. Wird dieses bewilligt, so lebt damit indes nicht die frühere, rechtskräftig aufgehobene Bewilligung wieder auf, sondern es handelt sich um eine neue Bewilligung, die voraussetzt, dass im Zeitpunkt ihrer Erteilung die dannzumal geltenden Bewilligungs- voraussetzungen erfüllt sind. Das Stellen eines neuen Gesuchs darf jedoch nicht dazu dienen, rechtskräftige Entscheide immer wieder infrage zu stellen. Die Verwaltungsbehörde ist von Verfassungs wegen nur verpflich- tet, auf ein neues Gesuch einzutreten, wenn die Umstände sich seit dem ersten Entscheid wesentlich geändert haben oder wenn erhebliche Tat- sachen und Beweismittel namhaft gemacht werden, die im früheren Ver- fahren nicht bekannt waren oder die schon damals geltend zu machen rechtlich oder tatsächlich unmöglich war oder keine Veranlassung bestand (vgl. BGE 136 II 177, Erw. 2.1; Urteil des Bundesgerichts 2C_711/2019 vom 1. November 2019, Erw. 3.3.1). Ein neues Bewilligungsgesuch ist so- mit nur dann materiell zu behandeln, wenn sich der Sachverhalt oder die</w:t>
      </w:r>
    </w:p>
    <w:p>
      <w:r>
        <w:t>- 9 - Rechtslage (bei Dauersachverhalten) entscheidwesentlich geändert haben (BGE 146 I 185, Erw. 4.1; BGE 136 II 177, Erw. 2.2.1). In Konkretisierung dieses allgemeinen Grundsatzes bejaht das Bundes- gericht bei Ausländerinnen und Ausländern, die wegen ihrer Straffälligkeit weggewiesen worden sind, einen Anspruch auf Neubeurteilung, wenn sich die betroffene Person nach ihrer Ausreise während fünf Jahren wohlver- halten hat, wobei in begründeten Fällen auch eine kürzere Frist aus- reichend ist (Urteile des Bundesgerichts 2C_711/2019 vom 1. November 2019, Erw. 3.3.1, 2C_141/2021 vom 13. April 2021, Erw. 2.1, und 2C_650/2017 vom 9. Januar 2018, Erw. 2.3). Eine Verkürzung der Frist kann sich insbesondere dort rechtfertigen, wo von Beginn weg ein Einrei- severbot von unter fünf Jahren angesetzt wurde oder eine Änderung der Sachlage eingetreten ist, die derart ins Gewicht fällt, dass ein anderes Er- gebnis im Bewilligungsverfahren ernstlich möglich erscheint (Urteil des Bundesgerichts 2C_484/2020 vom 19. Januar 2021, Erw. 3.1). Hat die be- troffene Person sich zwischenzeitlich nichts mehr zuschulden kommen lassen und geht von ihr keine Gefahr mehr für die öffentliche Sicherheit und Ordnung aus, besteht in der Regel kein genügender Grund mehr, das Familienleben unter Verweis auf die frühere Straffälligkeit zu beschränken. Der Zeitablauf verbunden mit einer Deliktsfreiheit kann vielmehr dazu führen, dass die Interessenabwägung anders auszufallen hat als zum Weg- weisungszeitpunkt (vgl. Urteile des Bundesgerichts 2C_484/2020 vom 19. Januar 2021, Erw. 3.1, und 2C_817/2012 vom 19. Februar 2013, Erw. 3.2.1). Umgekehrt kann ein nicht mehr zu bagatellisierender Rückfall in die Straffälligkeit einem Anspruch auf Neuüberprüfung entgegenstehen. Diese Regelung findet grundsätzlich auch auf freizügigkeitsrechtliche Sachverhalte Anwendung (vgl. Urteil des Bundesgerichts 2C_253/2017 vom 30. Mai 2017, Erw. 4.5.4). Ebenso ist sie konform mit konventions- rechtlichen Vorgaben, nachdem der Anspruch auf Achtung des Familien- lebens nicht absolut gilt und gemäss Art. 8 Ziff. 2 der Europäischen Men- schenrechtskonvention vom 4. November 1950 (EMRK; SR 0.101) in ana- loger Weise eingeschränkt werden kann, wenn dies gesetzlich vorgesehen ist und eine Massnahme darstellt, die in einer demokratischen Gesellschaft für die nationale Sicherheit, die öffentliche Ruhe und Ordnung, das wirt- schaftliche Wohl des Landes, die Verteidigung der Ordnung und zur Ver- hinderung von strafbaren Handlungen, zum Schutz der Gesellschaft und Moral sowie der Rechte und Freiheiten anderer notwendig ist (vgl. Urteil des Bundesgerichts 2C_299/2017 vom 11. Januar 2018, Erw. 4.2 ff.).</w:t>
      </w:r>
    </w:p>
    <w:p>
      <w:r>
        <w:rPr>
          <w:b/>
        </w:rPr>
        <w:t>E. 2.3.2.1</w:t>
      </w:r>
    </w:p>
    <w:p>
      <w:r>
        <w:t>Ob der Ehemann seit seiner Wegweisung im Ausland weitere Straftaten begangen hat, lässt sich nicht abschliessend beurteilen, nachdem er seine heimatlichen Strafregisterauszüge vom 3. bzw. 11. November 2022 bei der</w:t>
      </w:r>
    </w:p>
    <w:p>
      <w:r>
        <w:t>- 10 - Schweizer Vertretung in Wien eingereicht hatte und deshalb unklar er- scheint, in welchen Ländern er sich seit seiner Ausreise aus der Schweiz wirklich aufhielt (MI2-act. 1064 ff., 1075, 1108). Zudem haben sich die An- gaben der Beschwerdeführerin zur Straffälligkeit ihres Ehemannes im Aus- land in der Vergangenheit nicht immer als verlässlich erwiesen: So reichte sie nach ihrer Heirat am 2. Oktober 2007 nicht den heimatlichen Strafre- gisterauszug ihres Ehemannes B._____, sondern denjenigen einer "E._____, Tochter von F._____ und Mutter G._____, geborene H._____" ein (MI2-act. 279 f.), auf welchem zwei aus dem Strafregisterauszug vom 11. November 2022 ersichtliche Vorstrafen des Amtsgerichts Sarajevo vom</w:t>
      </w:r>
    </w:p>
    <w:p>
      <w:r>
        <w:rPr>
          <w:b/>
        </w:rPr>
        <w:t>E. 2.3.2.2</w:t>
      </w:r>
    </w:p>
    <w:p>
      <w:r>
        <w:t>Die vom Ehemann in der Schweiz begangenen qualifizierten Betäubungs- mitteldelikte fallen in eine Deliktskategorie, bei welcher neurechtlich ge- mäss Art. 66a Abs. 1 lit. o des Schweizerischen Strafgesetzbuchs vom 21. Dezember 1937 (StGB; SR 311.0) unabhängig von der Strafhöhe eine mindestens fünfjährige obligatorische Landesverweisung auszusprechen wäre, weshalb sich umso weniger eine Neuüberprüfung vor Ablauf der üblichen fünfjährigen Bewährungsfrist rechtfertigt. Der Ehemann der Be- schwerdeführerin hat sich sodann nach seiner Ausreise aus der Schweiz auch nicht während fünf Jahren bewährt und wohlverhalten, sondern ist – entgegen den diesbezüglichen Behauptungen in der Beschwerdeschrift – am 20. Dezember 2022 erneut straffällig und mit Strafbefehl der Staatsan- waltschaft Lenzburg-Aarau vom 26. April 2023 (MI2-act. 1142) wegen vor- sätzlichen Führens eines Motorfahrzeugs trotz Entzug des Führeraus- weises zu einer unbedingten Geldstrafe von 90 Tagessätzen zu je Fr. 80.00 verurteilt worden. Selbst wenn vorliegend ausnahmsweise eine vorzeitige Neuprüfung der Bewilligungssituation bereits mit Ablauf des dreijährigen Einreiseverbots in Betracht gezogen würde, ist aufgrund der erneuten Delinquenz des Ehe- mannes in der Schweiz nicht ersichtlich, inwiefern sich zwischenzeitlich die Interessensabwägung zu dessen Gunsten verschoben haben könnte. Die erneute Straffälligkeit stellt sodann schon aufgrund der ausgefällten Strafe und der Deliktsqualifikation als Vergehen im Sinn von Art. 10 Abs. 3 StGB keineswegs eine Bagatelle dar. Erschwerend kommt hinzu, dass der Ehe- mann sich auch durch das hängige Nachzugsverfahren nicht von einer wei- teren Straftat abhalten liess. Hieran vermag auch der Umstand nichts zu ändern, dass die erneute Delinquenz zumindest nicht einschlägig zu seiner schweren Drogendelinquenz erscheint, wenngleich der Ehemann bereits vor vielen Jahren schon einmal wegen Fahrens mit abgelaufenem, ungülti-</w:t>
      </w:r>
    </w:p>
    <w:p>
      <w:r>
        <w:t>- 11 - gem Fahrausweis bestraft wurde (Strafbefehl des Bezirksamts Zofingen vom 14. Oktober 1996, MI2-act. 29, 443).</w:t>
      </w:r>
    </w:p>
    <w:p>
      <w:r>
        <w:rPr>
          <w:b/>
        </w:rPr>
        <w:t>E. 2.3.2.3</w:t>
      </w:r>
    </w:p>
    <w:p>
      <w:r>
        <w:t>Die persönlichen Umstände der Familie und die gesundheitliche Situation des Ehemannes wurden sodann bereits im vorangegangenen und rechts- kräftig abgeschlossenen Wegweisungsverfahren erörtert, ohne dass zwischenzeitlich eine massgebliche Veränderung der Verhältnisse ersicht- lich ist oder zumindest substanziiert behauptet wird. Soweit in der Be- schwerdeschrift eine Verschlechterung des psychischen Gesundheitszu- stands des Ehemannes behauptet wird, fehlen hierzu einerseits nähere An- gaben und jegliche Belege. Andererseits ist nicht ersichtlich, weshalb eine (Weiter-)Behandlung im Herkunftsland ausgeschlossen sein soll, nachdem die Behandlung in der Schweiz aufgrund der Wegweisung und des ver- hängten Einreiseverbots ohnehin für mehrere Jahre unterbrochen werden musste. Sodann konnte sich der Ehemann gemäss den Angaben der Be- schwerdeführerin in Sarajevo in psychiatrische Behandlung begeben (MI2- act. 1119).</w:t>
      </w:r>
    </w:p>
    <w:p>
      <w:r>
        <w:rPr>
          <w:b/>
        </w:rPr>
        <w:t>E. 2.3.3</w:t>
      </w:r>
    </w:p>
    <w:p>
      <w:r>
        <w:t>Damit werden keine Umstände vorgebracht, welche die Interessensab- wägung massgeblich zu Gunsten der Eheleute beeinflussen und eine vor- zeitige Überprüfung der Bewilligungssituation des Ehemannes rechtfer- tigen könnten. Es besteht damit auch keine Veranlassung für eine vertiefte materielle Prüfung des Nachzugsgesuchs, weshalb auf die weiteren Vor- bringen der Beschwerdeführerin nicht weiter einzugehen ist. Das MIKA hätte richtigerweise gar nicht erst auf das Nachzugsgesuch der Beschwerdeführerin eintreten müssen und hatte im dargelegten Sinne je- denfalls keine eigehende materielle Neuüberprüfung vorzunehmen. So- dann kann die Beschwerdeführerin nichts zu ihren Gunsten ableiten, dass vorinstanzlich gleichwohl eine kursorische Interessensabwägung vorge- nommen wurde. Da die Nachzugsbestimmungen des AIG der Beschwer- deführerin keine günstigere Rechtsposition verschaffen, erübrigen sich auch diesbezüglich weitere Ausführungen. Die Beschwerde ist damit ohne weitergehende materielle Prüfung abzuwei- sen.</w:t>
      </w:r>
    </w:p>
    <w:p>
      <w:r>
        <w:rPr>
          <w:b/>
        </w:rPr>
        <w:t>E. 2.4</w:t>
      </w:r>
    </w:p>
    <w:p>
      <w:r>
        <w:t>Aufgrund der erneuten Straffälligkeit des Ehemannes der Beschwerdefüh- rerin gilt nach zitierter Bundesgerichtspraxis grundsätzlich (erneut) eine fünfjährige Bewährungsfrist bis zum Anspruch auf erneute Prüfung eines allfälligen Familiennachzugs, wobei die erneute Delinquenz des Eheman- nes nicht isoliert, sondern als Fortsetzung des bisherigen delinquenten Ver- haltens zu betrachten ist. Ferner ist darauf hinzuweisen, dass zum Wohl-</w:t>
      </w:r>
    </w:p>
    <w:p>
      <w:r>
        <w:t>- 12 - verhalten des Ehemannes nicht nur dessen Legalverhalten, sondern auch Bemühungen zur Schuldentilgung gehören. Die Frage, wann auf ein neues Nachzugsgesuch inskünftig einzutreten ist, muss und kann im vorliegenden Verfahren jedoch nicht abschliessend beurteilt werden. III. Im Beschwerdeverfahren werden die Verfahrenskosten nach Massgabe des Unterliegens und Obsiegens auf die Parteien verlegt (§ 31 Abs. 2 VRPG). Nachdem die Beschwerdeführerin unterliegt, gehen die Kosten des verwaltungsgerichtlichen Verfahrens zu ihren Lasten. Ein Parteikostener- satz fällt ausser Betracht (§ 32 Abs. 2 VRPG). Das Verwaltungsgericht erkennt:</w:t>
      </w:r>
    </w:p>
    <w:p>
      <w:r>
        <w:rPr>
          <w:b/>
        </w:rPr>
        <w:t>E. 3</w:t>
      </w:r>
    </w:p>
    <w:p>
      <w:r>
        <w:t>November 1988 und 21. November 1997 (MI2-act. 1075) nicht verzeichnet waren. Eine weitere Klärung des Wohlverhaltens im Ausland kann jedoch unterbleiben, da bereits das mangelhafte Legalverhalten in der Schweiz einer Neuüberprüfung entgegensteht.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