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WBE.2023.413 vom 16. Dezember 2025</w:t>
      </w:r>
    </w:p>
    <w:p>
      <w:r>
        <w:t>AG Verwaltungsgericht, 2025-12-16, DE</w:t>
      </w:r>
    </w:p>
    <w:p>
      <w:r>
        <w:rPr>
          <w:b/>
        </w:rPr>
        <w:t xml:space="preserve">Quelle: </w:t>
      </w:r>
      <w:r>
        <w:t>https://mcp.opencaselaw.ch/entscheid/ag_verwaltungsgericht_WBE.2023.413</w:t>
      </w:r>
    </w:p>
    <w:p>
      <w:r>
        <w:t>FR: AG_VERWALTUNGSGERICHT WBE.2023.413 du 16 décembre 2025</w:t>
      </w:r>
    </w:p>
    <w:p>
      <w:r>
        <w:t>IT: AG_VERWALTUNGSGERICHT WBE.2023.413 del 16 dicembre 2025</w:t>
      </w:r>
    </w:p>
    <w:p>
      <w:pPr>
        <w:pStyle w:val="Heading2"/>
      </w:pPr>
      <w:r>
        <w:t>Erwägungen</w:t>
      </w:r>
    </w:p>
    <w:p>
      <w:r>
        <w:rPr>
          <w:b/>
        </w:rPr>
        <w:t>E. 31</w:t>
      </w:r>
    </w:p>
    <w:p>
      <w:r>
        <w:t>Oktober 2023 verlor der Beschwerdeführer seine Stelle (act. 32). Aus seiner Stellungnahme vom 13. Februar 2025 inklusive nachgereichtem Be- richt vom 20. Februar 2025 geht hervor, dass der Kündigung eine mehrmo- natige Arbeitsunfähigkeit aufgrund eines Bandscheibenvorfalls voranging. Von Juni 2023 bis Dezember 2023 bezog der Beschwerdeführer Kranken- taggelder. Im Oktober 2023 erfolgte die Anmeldung bei der</w:t>
      </w:r>
    </w:p>
    <w:p>
      <w:r>
        <w:t>- 27 - Invalidenversicherung (IV). Der Regionale Ärztliche Dienst (RAD) erachtete im Januar 2024 eine Tätigkeit als M als nicht mehr zumutbar. Er empfahl eine leichte bis maximal mittelschwere wechselbelastende Tätigkeit ohne Zwangshaltungen für die Wirbelsäule, kein Bücken, regelmässiger Wech- sel zwischen Sitzen, Stehen und Gehen, ohne Kälte und Nässe. In einer solchen lag gemäss Zumutbarkeitsprofil des RAD vom 25. Januar 2024 die Arbeitsfähigkeit des Beschwerdeführers ab Mai 2023 bei 0 %, Januar 2024 bei 50 % und per Februar 2024 bei 100 %. Per Januar 2024 wurde der Be- schwerdeführer entsprechend als zu 50 % vermittlungsfähig erachtet, mel- dete sich bei einem Regionalen Arbeitsvermittlungszentrum (RAV) an und es wurde per 3. Januar 2024 die Rahmenfrist für den Bezug von Arbeitslo- sentaggeldern eröffnet. Von Januar 2024 bis August 2025 bezog der Be- schwerdeführer Taggelder der Arbeitslosenkasse. Die rund 12 Bewerbun- gen, die der Beschwerdeführer eigenen Angaben zufolge machte (act. 43, 53), blieben ohne Erfolg. Im Oktober 2024 wurde der Beschwerdeführer am Rücken operiert (De- kompression L5/S1). Eine weitere Rückenoperation ist geplant (act. 96). Per Dezember 2024 startete die F._____ ihren von der IV delegierten Auf- trag zur Arbeitsvermittlung. Im Assessment-Bericht dieser Stiftung vom 20. Februar 2025 wurde die erfolgreiche Integration des Beschwerdefüh- rers im ersten Arbeitsmarkt als herausfordernd beschrieben: Der Be- schwerdeführer vermittle eine ausgeprägte Motivation, so bald wie möglich wieder berufstätig zu sein, bringe wertvolle Ressourcen und Qualifikationen aus seiner langjährigen Erfahrung als M mit, besitze tiefgehende techni- sche Kenntnisse, ein ausgeprägtes handwerkliches und feinmotorisches Geschick, und sei offen für neue berufliche Perspektiven. Die Hauptheraus- forderung für eine erfolgreiche Integration im ersten Arbeitsmarkt stelle die eingeschränkte Beweglichkeit und Belastbarkeit des Rückens des Be- schwerdeführers dar sowie dessen geringeres Interesse an weniger hand- werklich orientierten Tätigkeiten. Die F._____ empfahl einen mehrmonati- gen Arbeitsversuch (zum Ganzen: act. 52 ff.). Diesen Arbeitsversuch absolviert der Beschwerdeführer seit dem 11. Au- gust 2025 in der D._____ in S._____. Die Eingliederungsmassnahme mit Anspruch auf IV-Taggeld dauert bis zum 15. Februar 2026 (act. 98). Die Rückmeldungen der Autowerkstatt bezeichnete die zuständige Sachbear- beiterin Integration am 11. November 2025 als ausserordentlich positiv: Der Beschwerdeführer habe keine Absenzen verzeichnet, arbeite sehr selbst- ständig und exakt, habe ein gutes Fachwissen und passe ins Team. Man wolle ihn nach Beendigung des Aufbautrainings anstellen (act. 99). Nach dem Gesagten kann der Beschwerdeführer aktuell kein ungekündig- tes und unbefristetes Arbeitsverhältnis im Sinne von § 9 Abs. 1 lit. a KBüG nachweisen. Vielmehr befindet er sich in einem befristeten Aufbautraining.</w:t>
      </w:r>
    </w:p>
    <w:p>
      <w:r>
        <w:t>- 28 - Er manifestiert indes durch die Stellensuche (act. 43, 53) und grosse Moti- vation zur wirtschaftlichen Eigenständigkeit im Rahmen der Arbeitsvermitt- lung (act. 54, 99) seinen ausgeprägten Willen, sobald wie möglich wieder voll berufstätig zu sein, was in Ausnahmefällen ebenfalls genügt, um das Erfordernis des Willens zur Teilnahme am Wirtschaftsleben zu erfüllen (§ 9 Abs. 1 lit. a dritter Teilsatz KBüG; Botschaft 2011, S. 49; Handbuch Bürger- recht des Staatssekretariats für Migration [SEM] für Gesuche ab 1.1.2018, Kapitel 3, S. 51). Ferner hat der Beschwerdeführer seine Lebenshaltungs- kosten bis dato stets decken können. Zunächst durch Einkommen, sodann durch Versicherungsleistungen (Taggelder der Krankentaggeldversiche- rung, Taggelder der Arbeitslosenkasse, Taggelder der IV), auf die ein Rechtsanspruch besteht (siehe vorne in dieser Erw. II/9.1). Allerdings läuft die Rahmenfrist für den Bezug von Arbeitslosentaggeldern im Januar 2026 aus (act. 45 ff.) und das IV-Taggeld ist nur bis 15. Februar 2026 zugespro- chen (act. 98). Damit erscheint fraglich, ob die Versicherungsleistungen auch "auf absehbare Zeit" gesichert sind, wie dies § 9 Abs. 1 lit. c KBüG erfordert (vgl. zum Kriterium der Absehbarkeit Botschaft 2011, S. 49). An- gesichts dessen, dass gemäss der zuständigen Sachbearbeiterin Arbeits- integration eine konkrete Aussicht auf eine Anstellung des Beschwerdefüh- rers per Februar 2026 besteht (act. 99), dürfte die Absehbarkeit zu bejahen sein. Nachdem der Beschwerdeführer den Willen zur Teilnahme am Wirt- schaftsleben aufbringt und damit dieses Integrationskriterium erfüllt, kann die Frage jedoch ebenso offengelassen werden, wie die zwingende An- schlussfrage, ob vorliegend aus Gründen von Art. 12 Abs. 2 BüG, Art. 9 BüV bzw. § 3 Abs. 4 KBüG nicht vom Integrationskriterium der Teilnahme am Wirtschaftsleben abzuweichen wäre. Prima vista behindern den Be- schwerdeführer, der aufgrund eines schweren Rückenleidens nach Band- scheibenvorfall seit über zwei Jahren (teilweise) arbeitsunfähig ist und dem eine Tätigkeit in seinem angestammten Beruf gemäss RAD nicht mehr zu- mutbar ist, jedenfalls (einzig) körperliche Beeinträchtigungen an der Erfül- lung des Integrationskriteriums der Teilnahme am Wirtschaftsleben, sodass bei der Beurteilung dieses Integrationskriteriums den Fähigkeiten des Be- schwerdeführers Rechnung zu tragen wäre (§ 3 Abs. 4 KBüG; Einbürge- rungshandbuch, Ziff. 15.1; vorne in dieser Erw. II/9.1). Zusammenfassend erfüllt er das Integrationskriterium der Teilnahme zum Wirtschaftsleben bzw. des Willens dazu nach BüG und KBüG. 9.2 Zu prüfen bleibt, ob der Beschwerdeführer seine Mitwirkungspflicht verletzt hat, indem er nicht über seinen Stellenverlust per Ende Oktober 2023 infor- mierte und zu einem Zeitpunkt, in dem er bereits nicht mehr angestellt war, angab, sich zusammen mit seinem Arbeitgeber über mögliche Weiterbil- dungen zu informieren (act. 13).</w:t>
      </w:r>
    </w:p>
    <w:p>
      <w:r>
        <w:t>- 29 - Gemäss Art. 21 BüV sind die Parteien verpflichtet, an der Feststellung des für die Anwendung des BüG massegebenden Sachverhalts mitzuwirken. Sie müssen insbesondere zutreffende und vollständige Angaben über die für die Einbürgerung wesentlichen Tatsachen machen (lit. a) und eine nach- trägliche Änderung der Verhältnisse, von denen sie wissen müssen, dass sie einer Einbürgerung entgegenstehen, der zuständigen Behörde unver- züglich mitteilen (lit. b). § 16 KBüG hält fest, dass die gesuchstellende Per- son verpflichtet ist, alle erforderlichen Unterlagen einzureichen und wahr- heitsgemäss Auskunft zu geben (Abs. 1) und während des Einbürgerungs- verfahrens alle die Einbürgerungsvoraussetzungen betreffenden Änderun- gen unverzüglich zu melden (Abs. 2). Wie die Ausführungen zum Integrationskriterium der Teilnahme am Wirt- schaftsleben zeigen (siehe vorne Erw. II/9.1), steht der Stellenverlust des Beschwerdeführers seiner Einbürgerung nicht entgegen. Er ändert nichts an den erfüllten materiellen Einbürgerungsvoraussetzungen. Entsprechend ist darin, dass der Beschwerdeführer nicht selbst über den Stellenverlust informiert hat, entgegen der Ansicht des Gemeinderats keine Verletzung der Mitwirkungspflicht im Sinne von Art. 21 Abs. 1 lit. b BüV und § 16 Abs. 2 KBüG zu sehen. Die in der Beschwerde gemachten Ausführungen zur Arbeitsstelle und zu allfälligen Weiterbildungsmöglichkeiten stellen indes eine Verletzung der Mitwirkungspflicht nach Art. 21 Abs. 1 lit. a BüV und § 16 Abs. 1 KBüG dar, waren sie doch nachweislich unzutreffend. Entgegen dem Gemeinderat ist diese Verletzung der Mitwirkungspflicht aber nicht mit einer Täuschung bzw. einem Täuschungsversuch gleichzusetzen. Ein täuschendes Verhal- ten erfordert bewusst falsche Angaben bzw. dass die Behörde bewusst in einem falschen Glauben gelassen wird (FANNY DE WECK, in: Spescha / Zünd / Bolzli / Hruschka / de Weck [Hrsg.], Kommentar Migrationsrecht, 5. Auf. 2019, N. 3 zu Art. 36 BüG m. w. H.; BGE 140 II 65, Erw. 2.2). Ein solch bewusstes Verhalten kann dem Beschwerdeführer nicht nachgewie- sen werden. Vielmehr war es gemäss seiner Stellungnahme vom 13. Fe- bruar 2025 sein Rechtsvertreter, der die falschen Ausführungen in der Be- schwerde vom 4. Dezember 2023 versehentlich gemacht hatte, indem er sich auf die vormalige Beschwerde an die Vorinstanz stützte. Vor diesem Hintergrund ist eine Täuschung bzw. ein Täuschungsversuch des Be- schwerdeführers, sich die Einbürgerung durch falsche Angaben zu er- schleichen, zu verneinen, auch wenn der Beschwerdeführer unbestrittener- massen seiner Mitwirkungspflicht nicht vollumfänglich nachgekommen ist. Der Umstand, dass sich der Beschwerdeführer erst nach einem Jahr und auf Aufforderung hin zu den Vorwürfen des Gemeinderats geäussert hat, ändert daran nichts. Nicht weiter einzugehen ist schliesslich auf die ge- meinderätliche Bemerkung in der Duplik, wonach die F._____ das Refe- renzgespräch nicht mit dem früheren Vorgesetzten des Beschwerdefüh- rers, sondern mit der HR-Leiterin der E._____ AG hätte führen sollen</w:t>
      </w:r>
    </w:p>
    <w:p>
      <w:r>
        <w:t>- 30 - (act. 58). Sie steht in keinem ersichtlichen Zusammenhang mit der Streit- frage (Einbürgerungsvoraussetzungen und Verletzung der Mitwirkungs- pflicht). Damit ändert insgesamt das vom Gemeinderat am 30. Januar 2024 einge- reichte Arbeitszeugnis des Beschwerdeführers nichts daran, dass der Be- schwerdeführer die materiellen Einbürgerungsvoraussetzungen erfüllt. An- gesichts dessen kann offenbleiben, ob der Gemeinderat überhaupt berech- tigt war, eigenmächtig das Arbeitszeugnis vom 31. Oktober 2023 einzuho- len, obwohl das Verfahren derzeit beim Verwaltungsgericht hängig ist, und ob dieses Dokuments im vorliegenden Verfahren verwertbar ist. 9.3 Unter dem Titel der von Art. 12 Abs. 1 lit. a BüG sowie § 5 Abs. 1 lit. d KBüG geforderten erfolgreichen Integration ist weiter zu prüfen, ob der während des hängigen Beschwerdeverfahrens ergangene Strafbefehl des KStA, Sektion Nachsteuern und Bussen, vom 7. März 2025 Auswirkungen auf die Beurteilung hat. Mit diesem wurde der Beschwerdeführer wegen versuch- ter Steuerhinterziehung der Kantons- und Gemeindesteuern 2023 zu einer Busse von Fr. 828.50 verurteilt. Es handelt sich dabei um eine Übertretung im Sinne des Steuerstrafrechts. Mangels eines Strafregistereintrags bzw. einer Verurteilung des Beschwer- deführers wegen eines Vergehens oder Verbrechens wäre grundsätzlich nach § 8 Abs. 2 lit. a KBüG davon auszugehen, dass der Beschwerdefüh- rer die öffentliche Sicherheit und Ordnung beachtet und insgesamt erfolg- reich integriert ist. In Nachachtung von § 8 Abs. 7 KBüG sowie Art. 12 Abs. 1 lit. a BüG i. V. m. Art. 4 Abs. 1 lit. a BüV sind allerdings auch Übertretungen in die Gesamt- würdigung einzubeziehen. Dabei kommt es sowohl auf die qualitative Er- heblichkeit der Missachtung der gesetzlichen Vorschrift(en) als auch auf deren quantitative Dimension an. Im vorliegenden Fall handelt es sich um einen einmaligen Verstoss, der ausschliesslich fiskalische Interessen des Gemeinwesens betrifft, mit einer Busse sanktioniert wurde und keinen Eintrag im Strafregister nach sich zog. Weder wurden Dritte gefährdet noch hochwertige Rechtsgüter wie Leib und Leben beeinträchtigt. Bereits die Einordnung als Übertretung verdeutlicht, dass die Tatschwere im unteren Bereich liegt. Eine – in qualitativer Hin- sicht – erhebliche Missachtung gesetzlicher Vorschriften (vgl. Art 4 Abs. 1 lit. a BüV, erster Teil) liegt damit nicht vor. Auch in quantitativer Hinsicht (vgl. Art. 4 Abs. 1 lit. a BüV, zweiter Teil) wird die Bagatellschwelle nicht überschritten. Ausweislich der Akten blieb es bei diesem einmaligen Vorfall. Hinweise auf eine wiederholte oder</w:t>
      </w:r>
    </w:p>
    <w:p>
      <w:r>
        <w:t>- 31 - systematische Missachtung steuerrechtlicher Pflichten bestehen nicht und werden auch nicht geltend gemacht. Schliesslich ist auch Art. 4 Abs. 1 lit. b BüV, der die mutwillige Nichterfüllung wichtiger öffentlich-rechtlicher Verpflichtungen erfasst, nicht einschlägig. Zwar wurde der Beschwerdeführer mit Strafbefehl des KStA vom 7. März 2025 wegen versuchter Steuerhinterziehung gebüsst. Er bringt jedoch vor, die Steuererklärung sei von einem Bekannten ausgefüllt worden, dem er versehentlich die Taggeldabrechnungen für November und Dezember 2023 nicht übermittelt habe. Dieses Vorbringen erscheint nachvollziehbar und glaubhaft. Dass befristet bezogene Taggeldleistungen bei der Deklara- tion weniger präsent sein können als der regelmässig ausgestellte Lohn- ausweis, erscheint zumindest nicht ausgeschlossen. Nachdem die Ge- meinde den Beschwerdeführer im Mai 2024 auf die fehlenden Taggeldab- rechnungen hingewiesen hatte, reichte er die Unterlagen unverzüglich nach. In seiner schriftlichen Stellungnahme an das KStA räumte er sodann das Versehen ein und beteuerte, es sei nie seine Absicht gewesen, Steuern zu hinterziehen. Unter Würdigung aller zu berücksichtigenden Umstände ergibt sich, dass der Strafbefehl vom 7. März 2025 keine hinreichende Grundlage darstellt, um willkürfrei auf eine ungenügende Beachtung der Rechtsordnung durch den Beschwerdeführer zu schliessen. Vielmehr lassen der einmalige und geringfügige Charakter des Vorfalls, die umgehende Nachdeklaration der fehlenden Unterlagen sowie die gezeigte Einsicht und Reue darauf schlies- sen, dass der Beschwerdeführer willens und in der Lage ist, die schweize- rische Rechtsordnung zu respektieren und künftig einzuhalten. Der Straf- befehl vermag die ansonsten erfüllten Integrationskriterien nicht zu relati- vieren und steht damit dem Nachweis einer erfolgreichen Integration nicht entgegen. 10. 10.1 Zusammenfassend erfüllt der Beschwerdeführer sämtliche materiellen Ein- bürgerungsvoraussetzungen; er ist insbesondere erfolgreich integriert (siehe vorne Erw. II/4 ff.). Die Beschwerde erweist sich somit als begründet und ist unter Aufhebung des angefochtenen Entscheids gutzuheissen. Die Akten sind dem Gemeinderat Q._____ zu übermitteln, damit er dem Be- schwerdeführer das Gemeindebürgerecht zusichert. 10.2 Der Vollständigkeit halber wird nochmals darauf hingewiesen, dass das Vorliegen eines Mankos bei einer Einbürgerungsvoraussetzung die Einbür- gerungsbehörde nicht davon entbindet, die erfolgreiche Integration in einer Gesamtwürdigung aller Integrationskriterien und aller massgeblichen As- pekte im Einzelfall zu beurteilen (siehe vorne Erw. II/3.4). Auch bei</w:t>
      </w:r>
    </w:p>
    <w:p>
      <w:r>
        <w:t>- 32 - Verneinung der Vertrautheit mit den hiesigen Lebensverhältnissen hätte die Einbürgerungsbehörde prüfen müssen, ob dieses Manko nicht durch die Erfüllung aller anderen Kriterien ausgeglichen worden und die erfolgreiche Integration zu bejahen gewesen wäre. Die von der Einbürgerungsbehörde vorgenommene isolierte Wertung des Kriteriums der Vertrautheit mit den hiesigen Lebensverhältnissen ohne Berücksichtigung der Kompensations- möglichkeit durch die Stärken in den anderen Teilbereichen führt zu einem Missverhältnis in der Würdigung aller Kriterien und ist deshalb unverhält- nismässig. III. 1. 1.1 Im Beschwerdeverfahren werden die Verfahrenskosten in der Regel nach Massgabe des Unterliegens und Obsiegens auf die Parteien verlegt. Vor- liegend hat der Beschwerdeführer vollständig obsiegt, zumal die Rückwei- sung der Sache zu neuem Entscheid als vollständiges Obsiegen gilt (Ent- scheid des Verwaltungsgerichts WBE.2023.103 vom 9. Oktober 2023, Erw. III/1 mit weiteren Hinweisen; BGE 141 V 281, Erw. 11.1). Den Behörden werden gemäss § 1 Abs. 2 KBüG i. V. m. § 31 Abs. 2 VRPG Verfahrenskosten nur auferlegt, wenn sie schwerwiegende Verfahrens- mängel begangen oder willkürlich entschieden haben. Wie oben ausgeführt (vgl. Erw. II/II.8), haben sowohl der Gemeinderat als erstinstanzlich ent- scheidende Behörde als auch der Regierungsrat als Vorinstanz bei der Be- urteilung des Kriteriums der Vertrautheit des Beschwerdeführers mit den hiesigen Lebensverhältnissen willkürlich entschieden. Folglich sind ihnen die jeweiligen Verfahrenskosten aufzuerlegen. 1.2 Im verwaltungsgerichtlichen Verfahren ist die Staatsgebühr innerhalb des gesetzlich festgesetzten Rahmens von Fr. 500.00 bis Fr. 30'000.00 unter Berücksichtigung des Zeitaufwands und der Bedeutung der Sache auf Fr. 2'800.00 festzusetzen (§ 29 des Gebührendekrets vom 19. September 2023 [GebührD; SAR 662.110] i. V. m. § 3 Abs. 1 und § 22 Abs. 1 lit. c des Dekrets über die Verfahrenskosten vom 24. November 1987 [Verfahrens- kostendekret, VKD; SAR 221.150]). Hinzu kommen die Kanzleigebühr und die Auslagen (§ 25 Abs. 1 und § 28 VKD). Diese Verfahrenskosten werden dem Regierungsrat auferlegt. 1.3 Die Verfahrenskosten des vorinstanzlichen Verfahrens wurden im ange- fochtenen Entscheid auf insgesamt Fr. 1'148.70 festgelegt, bestehend aus einer Staatsgebühr von Fr. 1'000.00 sowie der Kanzleigebühr und Ausla- gen von Fr. 148.70. Diese werden neu dem Gemeinderat auferlegt.</w:t>
      </w:r>
    </w:p>
    <w:p>
      <w:r>
        <w:t>- 33 - 2. 2.1 Auch die Parteikosten werden im Beschwerdeverfahren in der Regel nach Massgabe des Unterliegens und Obsiegens auf die Parteien verlegt (§ 1 Abs. 2 KBüG i. V. m. § 32 Abs. 2 VRPG). Der Regierungsrat und der Ge- meinderat sind daher zu verpflichten, dem obsiegenden Beschwerdeführer die Parteikosten zu ersetzen. Zur Festlegung der Parteientschädigung ist das Dekret über die Entschä- digung der Anwälte vom 10. November 1987 (Anwaltstarif, AnwT; SAR 291.150) massgebend (§ 1 Abs. 1 AnwT). Die Entschädigung in Ver- waltungssachen bestimmt sich nach den §§ 8a ff. AnwT. Da es vorliegend nicht um eine vermögensrechtliche Streitsache geht, ist die Entschädigung gemäss § 8a Abs. 3 AnwT nach Massgabe von § 3 Abs. 1 lit. b und den §§ 6 ff. AnwT festzusetzen. 2.2 Im Verfahren vor Verwaltungsgericht sind der Aufwand des Rechtsvertre- ters als niedrig, die Bedeutung des Falles als mittel und die Schwierigkeit als niedrig zu beurteilen, sodass gemäss dem nach § 3 Abs. 1 lit. b AnwT zur Verfügung stehenden Rahmen (Fr. 1'210.00 bis Fr. 14'740.00) eine Grundentschädigung von Fr. 3'240.00 als sachgerecht erscheint. Für die zusätzlichen Eingaben ist ein Zuschlag von 20 % zu gewähren (§ 6 Abs. 3 AnwT). Da der Beschwerdeführer bereits im vorinstanzlichen Verfahren von demselben Rechtanwalt vertreten war, ist eine Reduktion von 25 % in Ab- zug zu bringen. Die resultierende Entschädigung von aufgerundet Fr. 3'000.00 wird als Gesamtbetrag festgesetzt. Auslagen und Mehrwert- steuer sind darin enthalten (§ 8c Abs. 1 AnwT). Diese Parteikosten hat der Regierungsrat dem Beschwerdeführer zu ersetzen. 2.3 Im vorinstanzlichen Verfahren ist von derselben Grundentschädigung aus- zugehen wie im verwaltungsgerichtlichen Verfahren, allerdings kommen sowohl die Erhöhung als auch die Reduktion nicht zur Anwendung. Der Ge- meinderat hat dem Beschwerdeführer die resultierenden, aufgerundeten Parteikosten in Höhe von Fr. 3'300.00 (inkl. Auslagen und MWST) zu erset- 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