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WBE.2023.332 vom 17. Januar 2024</w:t>
      </w:r>
    </w:p>
    <w:p>
      <w:r>
        <w:t>AG Verwaltungsgericht, 2024-01-17, DE</w:t>
      </w:r>
    </w:p>
    <w:p>
      <w:r>
        <w:rPr>
          <w:b/>
        </w:rPr>
        <w:t xml:space="preserve">Quelle: </w:t>
      </w:r>
      <w:r>
        <w:t>https://mcp.opencaselaw.ch/entscheid/ag_verwaltungsgericht_WBE.2023.332</w:t>
      </w:r>
    </w:p>
    <w:p>
      <w:r>
        <w:t>FR: AG_VERWALTUNGSGERICHT WBE.2023.332 du 17 janvier 2024</w:t>
      </w:r>
    </w:p>
    <w:p>
      <w:r>
        <w:t>IT: AG_VERWALTUNGSGERICHT WBE.2023.332 del 17 gennaio 2024</w:t>
      </w:r>
    </w:p>
    <w:p>
      <w:pPr>
        <w:pStyle w:val="Heading2"/>
      </w:pPr>
      <w:r>
        <w:t>Erwägungen</w:t>
      </w:r>
    </w:p>
    <w:p>
      <w:r>
        <w:rPr>
          <w:b/>
        </w:rPr>
        <w:t>E. 4</w:t>
      </w:r>
    </w:p>
    <w:p>
      <w:r>
        <w:t>Vor dem Inkrafttreten von § 20 Abs. 2bis SPV am 1. Januar 2023 präsen- tierte sich die kantonale Rechtslage wie folgt: Weder das SPG noch die aSPV (Sozialhilfe- und Präventionsverordnung vom 28. August 2002 [Stand 1. März 2020], aSPV [SAR 851.211]) sahen eine Ausnahme von der Rückerstattungspflicht vor, wenn hierfür ausbe- zahlte Freizügigkeitsguthaben herangezogen wurden. Der Verordnungsge- ber hatte von seiner Kompetenz, die Voraussetzungen der sozialhilferecht- lichen Rückerstattung einzuschränken (§ 20 Abs. 2 SPG), noch keinen Ge- brauch gemacht. Entsprechend hatte das Verwaltungsgericht nicht beanstandet, dass die Sozialbehörden der Gemeinden unterstützte Personen zur Rückerstattung verpflichteten, wenn diese aufgrund ausbezahlter Freizügigkeitsguthaben über ausreichende Vermögenswerte verfügten und eine Rückerstattung zumutbar erschien. Es differenzierte jeweils nicht, worauf ein Vermögens- anfall beruhte. Die betreffenden Gelder durften zur Rückerstattung heran- gezogen werden, und zwar unabhängig davon, dass Freizügigkeitsgutha- ben ausbezahlt worden waren (Entscheid des Verwaltungsgerichts WBE.2021.4 vom 6. Mai 2021, Erw. II/4 ff. mit Hinweisen auf frühere Ent- scheide). Nach der dargestellten verwaltungsgerichtlichen Praxis bestand mithin im Zeitpunkt des erstinstanzlichen Entscheids keine Grundlage, um in Bezug auf die Rückerstattung von materieller Hilfe zu differenzieren, worauf die</w:t>
      </w:r>
    </w:p>
    <w:p>
      <w:r>
        <w:t>- 7 - Vermögensbildung einer unterstützten Person beruhte. Dies galt auch für ausbezahlte Freizügigkeitsguthaben. Gegenteilige Vorgaben liessen sich der Sozialhilfegesetzgebung nicht entnehmen. Das Bundesgericht hat die entsprechende Praxis des Verwaltungsgerichts vollumfänglich geschützt (betreffend Vollstreckbarkeit vgl. hinten Erw. 5.4) und insbesondere deren Bundesrechtskonformität bestätigt (Urteil des Bundesgerichts 8C_441/2021 vom 24. November 2021). Entsprechend kann vorliegend auf die erwähnte Praxis abgestellt werden, zumal sie von der Beschwerdeführerin nicht oder zumindest nicht ausdrücklich in Frage gestellt wird.</w:t>
      </w:r>
    </w:p>
    <w:p>
      <w:r>
        <w:rPr>
          <w:b/>
        </w:rPr>
        <w:t>E. 5</w:t>
      </w:r>
    </w:p>
    <w:p>
      <w:r>
        <w:t>Bereits unter dem alten Recht setzte eine Rückerstattungsverpflichtung voraus, dass sich die wirtschaftlichen Verhältnisse so weit gebessert hatten, dass eine Rückerstattung ganz oder teilweise zugemutet werden konnte (§ 20 Abs. 1 SPG). Diese Anforderungen gelten unverändert weiter. Gemäss § 21 Abs. 1 SPG klären die ausrichtenden Gemeinden periodisch die Voraussetzungen der Rückerstattung ab und entscheiden darüber, sofern keine Vereinbarung zu Stande kommt (vgl. § 21 Abs. 3 SPG). Bessere wirtschaftliche Verhältnisse liegen vor, wenn Vermögen vor- handen ist, Vermögen gebildet wird oder Vermögen gebildet werden könnte (§ 20 Abs. 1 SPV; Aargauische Gerichts- und Verwaltungsentscheide [AGVE] 2006, S. 237). Für eine Einzelperson ist ein Vermögensfreibetrag von Fr. 5'000.00 zu gewähren (vgl. § 20 Abs. 2 SPV). Nachfolgend ist zu prüfen, ob es der Beschwerdeführerin zumutbar ist, das Freizügigkeitsguthaben zur Rückerstattung einzusetzen (§ 20 Abs. 1 SPG): Beim Kriterium der Zumutbarkeit, das § 20 Abs. 1 SPG für die Rückerstat- tung aufstellt, handelt es sich um einen unbestimmten Rechtsbegriff, des- sen Anwendung das Verwaltungsgericht im Rahmen der Rechtskontrolle überprüft (vgl. vorne Erw. I/4; zum Ganzen: HÄFELIN/MÜLLER/UHLMANN, a.a.O., Rz. 413 ff.). Gemäss der (impliziten) Beurteilung der Vorinstanz ist das Kriterium der Zumutbarkeit erfüllt, wenn die Sicherung des Lebensunterhalts gewährleis- tet ist; weitere Aspekte sind nicht zu prüfen. Diese Auslegung lässt sich nicht beanstanden; die zentrale Bedeutung der Sicherung des Lebensun- terhaltes für die Zumutbarkeit einer sozialhilferechtlichen Anordnung ist of- fensichtlich.</w:t>
      </w:r>
    </w:p>
    <w:p>
      <w:r>
        <w:t>- 8 - Im vorliegenden Fall erachtete die Vorinstanz den Lebensunterhalt der Be- schwerdeführerin nach Massgabe der AHV-Rente sowie der Ergänzungs- leistungen als erfüllt und demzufolge die umstrittene Rückzahlungspflicht als gerechtfertigt (angefochtener Entscheid, Erw. 5.1). Diese Auffassung erscheint korrekt. Es ist nicht nachvollziehbar, inwiefern eine Ermessens- unterschreitung oder eine Verletzung der Begründungspflicht vorliegen soll. Die Beschwerdeführerin erklärte sich bereit, per 1. April 2020 von der Sozialhilfe abgelöst zu werden. Ihr wurden gesamthaft Sozialhilfeleistun- gen in der Höhe von Fr. 84'326.65 ausgerichtet. Ihr Freizügigkeitsguthaben betrug im Zeitpunkt des erstinstanzlichen Entscheids Fr. 39'099.25. Bei der Festsetzung der Rückerstattungspflicht wurde der Vermögensfreibetrag auf ihrem Freizügigkeitsguthaben von Fr. 5'000.00 gemäss § 20 Abs. 2 SPV berücksichtigt (vgl. angefochtener Entscheid, Erw. "Rücker- stattung", S. 2). Bei diesem Ergebnis wird knapp die Hälfte der Sozialhil- feschulden getilgt und es verbleiben der Beschwerdeführerin etwas über</w:t>
      </w:r>
    </w:p>
    <w:p>
      <w:r>
        <w:rPr>
          <w:b/>
        </w:rPr>
        <w:t>E. 10</w:t>
      </w:r>
    </w:p>
    <w:p>
      <w:r>
        <w:t>% ihres Alterskapitals. Die Existenzsicherung der Beschwerdeführerin wird mit der vorbezogenen AHV-Rente und Ergänzungsleistungen gewähr- leistet. Insbesondere bestehen keine Auswirkungen auf die Gesundheits- versorgung der Beschwerdeführerin (vgl. Verwaltungsgerichtsbeschwerde, Beilage 4). Insgesamt erscheint die verfügte Rückerstattung als zumutbar. Zudem gilt es Folgendes zu beachten: Nach der bundesgerichtlichen Rechtsprechung kann ein ausbezahltes Freizügigkeitsguthaben nur bis zur Höhe einer entsprechenden jährlichen Rente gepfändet werden (Urteil des Bundesgerichts 8C_441/2021 vom 24. November 2021, Erw. 7.4). Diesbe- züglich wird im Hinblick auf die Berechnung des betreibungsrechtlichen Existenzminimums zu ermitteln sein, welche Rente sich mit dem erhaltenen Guthaben im Vollzugzeitpunkt unter Beachtung einer durchschnittlichen Lebenserwartung der Beschwerdeführerin kaufen liesse (vgl. zum Ganzen: BGE 113 III 10, Erw. 5; Urteil des Bundesgerichts 5A_338/2019 vom 23. September 2019, Erw. 6.2.1). Unter diesen Vorgaben und angesichts des sehr bescheidenen Alterskapitals erscheint es fraglich, ob die Rücker- stattung im Rahmen der Zwangsvollstreckung durchgesetzt werden kann (vgl. § 78 VRPG). 6. Als Ergebnis ist somit festzuhalten, dass die vorliegende Verpflichtung zur Rückerstattung nicht gegen Bundesrecht verstösst. Eine Verletzung von kantonalem Sozialhilferecht, wie es im Zeitpunkt des erstinstanzlichen Ent- scheids galt, liegt ebenfalls nicht vor. Somit lässt sich der angefochtene Entscheid nach Massgabe des anwendbaren Rechts nicht beanstanden, zumal keine Anhaltspunkte für Willkür oder Rechtsmissbrauch vorliegen</w:t>
      </w:r>
    </w:p>
    <w:p>
      <w:r>
        <w:t>- 9 - (vgl. Verwaltungsgerichtsbeschwerde, S. 7 ff.). Die Beschwerde erweist sich somit als unbegründet und ist abzuweisen. Die Beschwerdeführerin verlangt im Übrigen eine Korrektur des vorinstanz- lichen Entscheids in Bezug auf den darin festgehaltenen Rückerstattungs- betrag (Beschwerde, S. 4). Dabei handelt es sich nicht um einen förmlichen Antrag; jedenfalls ist er nicht unter den Anträgen auf S. 1 der Beschwerde aufgeführt. Effektiv ist der Rückerstattungsbetrag auch nicht Bestandteil des Dispositivs des angefochtenen Entscheids. Die erwähnte Korrektur müsste bei der Vorinstanz mittels Antrags auf Berichtigung verlangt wer- den. III. 1. Entsprechend dem Verfahrensausgang hat die Beschwerdeführerin die verwaltungsgerichtlichen Kosten zu tragen (vgl. § 31 Abs. 2 VRPG).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Die Beschwerdeführerin ersucht um unentgeltliche Rechtspflege. Auf Ge- such hin befreit die zuständige Behörde natürliche Personen von der Kos- ten- und Vorschusspflicht, wenn die Partei Bedürftigkeit nachweist und das Begehren nicht aussichtslos erscheint (§ 34 Abs. 1 VRPG). Die Mittellosigkeit der Beschwerdeführerin ist ausgewiesen.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255, Erw. 2.5.3). Ob im Einzelfall genügende Erfolgsaussichten bestehen, beurteilt sich aufgrund einer</w:t>
      </w:r>
    </w:p>
    <w:p>
      <w:r>
        <w:t>- 10 - vorläufigen und summarischen Prüfung der Prozessaussichten, wobei die Verhältnisse im Zeitpunkt der Einreichung des Gesuchs massgebend sind (BGE 138 III 217, Erw. 2.2.4; 133 III614, Erw.5). Die Beschwerdeführerin wehrt sich dagegen, das Freizügigkeitsguthaben zur Rückerstattung von Sozialhilfe einzusetzen. Ihr Begehren kann ange- sichts der Problematik der Zumutbarkeit einer Rückerstattungspflicht und vor dem Hintergrund der intertemporalrechtlichen Frage nicht als aussichts- los bezeichnet werden. Die unentgeltliche Rechtspflege ist ihr daher zu ge- währen. 3. Eine Parteientschädigung ist bei diesem Verfahrensausgang nicht geschul- det (vgl. § 29 i.V.m. § 32 Abs. 2 VRPG). 4. Die Beschwerdeführerin ersucht um unentgeltliche Vertretung. Unter den Voraussetzungen der unentgeltlichen Vertretung kann einer Partei eine un- entgeltliche Rechtsvertretung bestellt werden, wenn es die Schwere einer Massnahme oder die Rechtslage rechtfertigt und die Vertretung zur gehö- rigen Wahrung der Interessen der Partei notwendig ist (§ 34 Abs. 2 VRPG). Im Zusammenhang mit der Rückerstattung durch ein Freizügigkeitsgutha- ben stellten sich Fragen, mit denen die Beschwerdeführerin ohne Rechts- beistand überfordert gewesen wäre (vgl. AGVE 2007, S. 194 f.). Der Beizug eines Rechtsanwalts war somit gerechtfertigt. Daher ist der Beschwerde- führerin die unentgeltliche Vertretung durch lic. iur. Tobias Hobi zu bewilli- gen. Für das Honorar der unentgeltlichen Vertretung ist das Dekret über die Ent- schädigung der Anwälte vom 10. November 1987 (Anwaltstarif, AnwT; SAR 291.150) massgebend. Sozialhilfesachen sind grundsätzlich vermö- gensrechtliche Streitigkeiten mit einem zu bestimmenden Streitwert (vgl. AGVE 2007, S. 191). Das Honorar der unentgeltlichen Vertretung bestimmt sich nach den gleichen Vorgaben wie die Parteientschädigung (vgl. Ent- scheid des Verwaltungsgerichts WBE.2021.277/279 vom 8. Dezember 2021, Erw. III/3; der Verweis in § 10 Abs. 1 AnwT umfasst nach der Recht- sprechung des Verwaltungsgerichts auch §§ 8a-8c AnwT, da es sinnwidrig wäre, in öffentlich-rechtlichen Angelegenheiten auf die für Zivilsachen gel- tenden Streitwerte abzustellen, zudem liesse es sich nicht rechtfertigen, das Honorar der unentgeltlichen Vertretung und die Parteientschädigung auf wesentlich unterschiedliche Art und Weise festzulegen). In Beschwerdeverfahren mit einem Streitwert von Fr. 20'000.00 bis Fr. 50'000.00 geht der Entschädigungsrahmen von Fr. 1'500.00 bis</w:t>
      </w:r>
    </w:p>
    <w:p>
      <w:r>
        <w:t>- 11 - Fr. 6'000.00 (§ 8 Abs. 1 lit. a Ziff. 2 AnwT). Innerhalb des vorgesehenen Rahmenbetrags richtet sich die Entschädigung nach dem mutmasslichen Aufwand des Anwalts sowie nach der Bedeutung und der Schwierigkeit des Falls (§ 8a Abs. 2 AnwT). Die Entschädigung wird als Gesamtbetrag fest- gesetzt. Auslagen und Mehrwertsteuer sind darin enthalten (§ 8c AnwT). Der Vertreter der Beschwerdeführerin ist im Anwaltsregister verzeichnet und für die Unabhängige Fachstelle für Sozialhilferecht (UFS) in Zürich tä- tig. Der Streitwert beträgt Fr. 34'099.25. Die geltend gemachte Entschädi- gung von Fr. 1'775.30 erweist sich ohne Weiteres als gerechtfertigt.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