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WBE.2023.323 vom 29. April 2024</w:t>
      </w:r>
    </w:p>
    <w:p>
      <w:r>
        <w:t>AG Verwaltungsgericht, 2024-04-29, DE</w:t>
      </w:r>
    </w:p>
    <w:p>
      <w:r>
        <w:rPr>
          <w:b/>
        </w:rPr>
        <w:t xml:space="preserve">Quelle: </w:t>
      </w:r>
      <w:r>
        <w:t>https://mcp.opencaselaw.ch/entscheid/ag_verwaltungsgericht_WBE.2023.323</w:t>
      </w:r>
    </w:p>
    <w:p>
      <w:r>
        <w:t>FR: AG_VERWALTUNGSGERICHT WBE.2023.323 du 29 avril 2024</w:t>
      </w:r>
    </w:p>
    <w:p>
      <w:r>
        <w:t>IT: AG_VERWALTUNGSGERICHT WBE.2023.323 del 29 aprile 2024</w:t>
      </w:r>
    </w:p>
    <w:p>
      <w:pPr>
        <w:pStyle w:val="Heading2"/>
      </w:pPr>
      <w:r>
        <w:t>Erwägungen</w:t>
      </w:r>
    </w:p>
    <w:p>
      <w:r>
        <w:rPr>
          <w:b/>
        </w:rPr>
        <w:t>E. 3</w:t>
      </w:r>
    </w:p>
    <w:p>
      <w:r>
        <w:t>Der ursprüngliche Rechtsvertreter der Beschwerdeführerin teilte dem Verwaltungsgericht mit Schreiben vom 11. Dezember 2023 mit, dass sein Mandat erloschen sei.</w:t>
      </w:r>
    </w:p>
    <w:p>
      <w:r>
        <w:rPr>
          <w:b/>
        </w:rPr>
        <w:t>E. 3.1</w:t>
      </w:r>
    </w:p>
    <w:p>
      <w:r>
        <w:t>Das Generalsekretariat des Departements Volkswirtschaft und Inneres wird verpflichtet, der Beschwerdeführerin die im Verwaltungsbeschwerde- verfahren entstandenen Parteikosten in Höhe von Fr. 3'500.00 zu erset- zen.</w:t>
      </w:r>
    </w:p>
    <w:p>
      <w:r>
        <w:rPr>
          <w:b/>
        </w:rPr>
        <w:t>E. 3.2</w:t>
      </w:r>
    </w:p>
    <w:p>
      <w:r>
        <w:t>Der Regierungsrat wird verpflichtet, der Beschwerdeführerin die im ver- waltungsgerichtlichen Verfahren entstandenen Parteikosten in Höhe von Fr. 3'000.00 zu ersetzen. Zustellung an: die Beschwerdeführerin den Regierungsrat das Departement Volkswirtschaft und Inneres, Generalsekretariat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w:t>
      </w:r>
    </w:p>
    <w:p>
      <w:r>
        <w:t>- 10 - (Art. 82 ff. des Bundesgesetzes über das Bundesgericht [Bundesgerichts- gesetz, BGG; SR 173.110] vom 17. Juni 2005). Aarau, 29. April 2024 Verwaltungsgericht des Kantons Aargau 3. Kammer Vorsitz: Gerichtsschreiberin i.V.: Michel Mahler</w:t>
      </w:r>
    </w:p>
    <w:p>
      <w:r>
        <w:rPr>
          <w:b/>
        </w:rPr>
        <w:t>E. 3.3</w:t>
      </w:r>
    </w:p>
    <w:p>
      <w:r>
        <w:t>Der Vollständigkeit halber gilt es festzuhalten, dass ein Widerruf der Zusi- cherung einer Kreditausfallgarantie dort infrage kommt, wo der Kreditaus- fallgarantievertrag noch nicht abgeschlossen ist. Der Widerruf ist ebenfalls möglich, wo die Darlehenssumme noch nicht bzw. noch nicht vollständig ausbezahlt wurde. Voraussetzung des Widerrufs der Zusicherung der Kreditausfallgarantie ist in diesen Fällen aber, dass der Kanton eine Handhabe hat, die Bank von (weiteren) Auszahlungen des Darlehens ab- zuhalten. Das öffentliche Interesse an einem Widerruf dürfte hier regel- mässig höher wiegen als das Gebot der Rechtssicherheit.</w:t>
      </w:r>
    </w:p>
    <w:p>
      <w:r>
        <w:rPr>
          <w:b/>
        </w:rPr>
        <w:t>E. 4</w:t>
      </w:r>
    </w:p>
    <w:p>
      <w:r>
        <w:t>Zusammenfassend erweist sich die Verwaltungsgerichtsbeschwerde als begründet und ist gutzuheissen. Die Verfügung des Generalsekretariats</w:t>
      </w:r>
    </w:p>
    <w:p>
      <w:r>
        <w:t>- 8 - DVI vom 28. September 2022 und der Beschwerdeentscheid der Vor- instanz sind aufzuheben. Ein schwerwiegender Eröffnungsfehler oder inhaltlicher Mangel, welcher die Annahme von Nichtigkeit rechtfertigt, liegt nicht vor (vgl. Verwaltungs- gerichtsbeschwerde, S. 7; HÄFELIN/MÜLLER/UHLMANN, a.a.O., Rz. 1102 ff.). Bei diesem Verfahrensausgang erübrigte es sich, die B._____ AG im vorliegenden Beschwerdeverfahren beizuladen (§ 12 VRPG). III. 1. Die Beschwerdeführerin obsiegt. Entsprechend dem Verfahrensausgang hat sie keine Verfahrenskosten zu tragen. Den Vorinstanzen werden grundsätzlich keine Verfahrenskosten auferlegt (§ 31 Abs. 2 VRPG). 2. Bei diesem Ergebnis hat die Beschwerdeführerin gegenüber dem Regie- rungsrat Anspruch auf eine Parteientschädigung (§ 32 Abs. 2 i.V.m. § 13 Abs. 2 lit. e VRPG). Für die Höhe der Parteientschädigung ist das Dekret über die Entschädi- gung der Anwälte vom 10. November 1987 (Anwaltstarif, AnwT; SAR 291.150) massgebend. Der Entschädigungsrahmen geht in Be- schwerdeverfahren mit einem Streitwert bis Fr. 50'000.00, von Fr. 1'500.00 bis Fr. 6'000.00 (§ 8a Abs. 1 lit. a Ziff. 2 AnwT). Der vorlie- gende Streitwert entspricht der gewährten Kreditausfallgarantie und be- trägt Fr. 45'000.00. Angesichts dieses Streitwerts, eines unterdurch- schnittlichen Aufwands (insbesondere: keine Verhandlung, keine zweite Rechtsschrift, Rechtsmittelverfahren, vorzeitiger Mandatsabbruch) sowie einer mittleren Schwierigkeit des Falls rechtfertigt sich eine Entschädi- gung von Fr. 3'000.00 (§ 8a Abs. 2 AnwT). Sie wird als Gesamtbetrag festgesetzt. Auslagen und Mehrwertsteuer sind darin enthalten (§ 8c AnwT). 3. Im vorinstanzlichen Beschwerdeverfahren hat die Beschwerdeführerin ebenfalls keine Verfahrenskosten zu tragen. Zudem hat sie gegenüber dem DVI Anspruch auf eine Parteientschädigung, die gegenüber derjeni- gen im vorliegenden Verfahren leicht erhöht ist (insbesondere: kein vor- zeitiger Mandatsabbruch) (§ 32 Abs. 2 i.V.m. § 13 Abs. 2 lit. e VRPG).</w:t>
      </w:r>
    </w:p>
    <w:p>
      <w:r>
        <w:t>- 9 - Das Verwaltungsgericht erkennt: 1. In Gutheissung der Verwaltungsgerichtsbeschwerde werden der Regie- rungsratsbeschluss vom 16. August 2023 sowie der Entscheid des Gene- ralsekretariats des Departements Volkswirtschaft und Inneres vom 28. September 2022 aufgehoben. 2. Die Verfahrenskosten des Verwaltungsbeschwerdeverfahrens sowie des verwaltungsgerichtlichen Verfahrens gehen zu Lasten des Kantons.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