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WBE.2023.312 vom 28. April 2025</w:t>
      </w:r>
    </w:p>
    <w:p>
      <w:r>
        <w:t>AG Verwaltungsgericht, 2025-04-28, DE</w:t>
      </w:r>
    </w:p>
    <w:p>
      <w:r>
        <w:rPr>
          <w:b/>
        </w:rPr>
        <w:t xml:space="preserve">Quelle: </w:t>
      </w:r>
      <w:r>
        <w:t>https://mcp.opencaselaw.ch/entscheid/ag_verwaltungsgericht_WBE.2023.312</w:t>
      </w:r>
    </w:p>
    <w:p>
      <w:r>
        <w:t>FR: AG_VERWALTUNGSGERICHT WBE.2023.312 du 28 avril 2025</w:t>
      </w:r>
    </w:p>
    <w:p>
      <w:r>
        <w:t>IT: AG_VERWALTUNGSGERICHT WBE.2023.312 del 28 aprile 2025</w:t>
      </w:r>
    </w:p>
    <w:p>
      <w:pPr>
        <w:pStyle w:val="Heading2"/>
      </w:pPr>
      <w:r>
        <w:t>Erwägungen</w:t>
      </w:r>
    </w:p>
    <w:p>
      <w:r>
        <w:rPr>
          <w:b/>
        </w:rPr>
        <w:t>E. 2</w:t>
      </w:r>
    </w:p>
    <w:p>
      <w:r>
        <w:t>A._____ erzielte in den Steuerperioden 2010 und 2011 einen Gewinn in der Höhe von Fr. 32'183.20 (2010) respektive Fr. 27'815.60 (2011) aus dem Verkauf von eingelagertem Heizöl, deklarierte diese Gewinne aber nicht in der jeweiligen Steuererklärung.</w:t>
      </w:r>
    </w:p>
    <w:p>
      <w:r>
        <w:rPr>
          <w:b/>
        </w:rPr>
        <w:t>E. 3</w:t>
      </w:r>
    </w:p>
    <w:p>
      <w:r>
        <w:t>Mit Schreiben vom 8. Dezember 2020 machte A._____ schliesslich gel- tend, er sei in der Steuerperiode 2012 im Nebenerwerb als Wertschriften- händler tätig gewesen. Darauf würden bereits die Anzahl der Transaktionen (46) und der damit generierte Umsatz von mehr als Fr. 200'000.00 auf dem Wertschriftenkonto bei der UBS hinweisen. C. 1. Im Folgenden wurde A._____ mit Verfügung der Steuerkommission Q._____ vom 19. Februar 2021 für die Kantons- und Gemeindesteuern 2012 mit einem steuerbaren und satzbestimmenden Einkommen von Fr. 98'900.00 und einem steuerbaren Vermögen von Fr. 0.00 veranlagt. Der von A._____ geltend gemachte Verlust aus Wertschriftenhandel in der Höhe von Fr. 55'103.00 wurde nicht zum Abzug zugelassen. 2. A._____ erhob mit Schreiben vom 16. März 2021 Einsprache gegen diesen Entscheid, in welcher er beantragte, der Verlust von Fr. 55'103.00 sei vom steuerbaren Einkommen der Steuerperiode 2012 in Abzug zu bringen. Am</w:t>
      </w:r>
    </w:p>
    <w:p>
      <w:r>
        <w:rPr>
          <w:b/>
        </w:rPr>
        <w:t>E. 3.1</w:t>
      </w:r>
    </w:p>
    <w:p>
      <w:r>
        <w:t>Die Abzugsfähigkeit der vom Beschwerdeführer erlittenen Verluste hängt davon ab, ob der von ihm ausgeübte Wertschriftenhandel als selbständige Erwerbstätigkeit oder als blosse private Vermögensverwaltung zu qualifi- zieren ist: Nur im ersten Fall unterliegen allfällige Erträge der Einkommens- steuer (§ 25 Abs. 1 und § 27 Abs. 1 StG vgl. Art. 7 Abs. 1 und Art. 8 Abs. 1 des Bundesgesetzes über die Harmonisierung der direkten Steuern der Kantone und Gemeinden [StHG; SR 642.14]), womit auch die eingetrete- nen und verbuchten Verluste auf Geschäftsvermögen von den gesamten steuerbaren Einkünften abgezogen werden können (§ 36 Abs. 2 lit. c i. V. m. § 34 StG; Art. 10 Abs. 1 lit. c StHG).</w:t>
      </w:r>
    </w:p>
    <w:p>
      <w:r>
        <w:rPr>
          <w:b/>
        </w:rPr>
        <w:t>E. 3.2</w:t>
      </w:r>
    </w:p>
    <w:p>
      <w:r>
        <w:t>Unter den Begriff der selbständigen Erwerbstätigkeit fällt allgemein jede Tätigkeit, bei der ein Unternehmer auf eigenes Risiko, unter Einsatz von Arbeit und Kapital, in einer frei gewählten Organisation und mit der Absicht der Gewinnerzielung am Wirtschaftsverkehr teilnimmt. Eine solche Tätig- keit kann haupt- oder nebenberuflich sowie dauernd oder temporär ausge- übt werden. Ob eine selbständige Erwerbstätigkeit vorliegt, ist stets nach den gesamten Umständen des Einzelfalls zu beurteilen (vgl. BGE 125 II 113, Erw. 5b; BGE 122 II 446, Erw. 5a).</w:t>
      </w:r>
    </w:p>
    <w:p>
      <w:r>
        <w:t>- 6 - Die Absicht der Gewinnerzielung besteht aus dem ernsthaften Streben nach Erzielung eines Einkommens (subjektives Element der Gewinnstre- bigkeit) und dem objektiven Umstand, dass dieses Streben wirtschaftlich Erfolg haben kann (objektives Element). Entscheidend sind die Eignung der eingesetzten Mittel zur nachhaltigen Gewinnerzielung und die tatsächliche Bewirtschaftung nach betriebswirtschaftlichen Grundsätzen (vgl. JULIA VON AH, in: Klöti-Weber / Schudel / Schwarb [Hrsg.], Kommentar zum Aargauer Steuergesetz, 5. Aufl. 2023, N. 47 zu § 27). Bringt eine Tätigkeit auf Dauer nichts ein, ist dies als deutliches Indiz dafür zu werten, dass es an der subjektiven oder objektiven Gewinnstrebigkeit mangelt: Wer wirklich eine Erwerbstätigkeit ausübt, wird sich in der Regel nach andauernden beruflichen Misserfolgen von der Zwecklosigkeit seiner Tätigkeit überzeugen lassen und diese aufgeben. Führt er sie dennoch wei- ter, ist anzunehmen, dass dafür in subjektiver Hinsicht andere Motive als der Erwerbszweck massgebend sind. Dies trifft etwa dann zu, wenn eine Tätigkeit aus blosser Liebhaberei oder als Hobby betrieben wird (vgl. Ur- teile des Bundesgerichts 2C_188/2015 resp. 2C_189/2015 vom 23. Okto- ber 2015, Erw. 2.2 ff.; 2C_186/2014 vom 4. September 2014, Erw. 2 ff.).</w:t>
      </w:r>
    </w:p>
    <w:p>
      <w:r>
        <w:rPr>
          <w:b/>
        </w:rPr>
        <w:t>E. 3.3</w:t>
      </w:r>
    </w:p>
    <w:p>
      <w:r>
        <w:t>Das Bundesgericht hat für den Handel mit Wertschriften spezifische Prüf- kriterien entwickelt, um eine nichtsteuerbare private Vermögensverwaltung vom steuerbaren gewerbsmässigen Wertschriftenhandel abzugrenzen. Als Indizien für das Vorliegen des gewerbsmässigen Wertschriftenhandels gel- ten die systematische oder planmässige Art und Weise des Vorgehens, die Häufigkeit der Transaktionen, die kurze Besitzdauer, der enge Zusammen- hang mit der beruflichen Tätigkeit der steuerpflichtigen Person, der Einsatz spezieller Fachkenntnisse oder erheblicher fremder Mittel zur Finanzierung der Geschäfte sowie die Verwendung der erzielten Gewinne bzw. deren Wiederanlage in gleichartige Vermögensgegenstände. Jedes dieser Indi- zien kann zusammen mit andern, unter Umständen jedoch auch für sich alleine zur Annahme einer selbständigen Erwerbstätigkeit ausreichen. Dass einzelne typische Elemente einer selbständigen Erwerbstätigkeit im Einzelfall nicht erfüllt sind, kann durch andere Elemente kompensiert wer- den, die besonders ausgeprägt vorliegen. Entscheidend ist, dass die Tätig- keit in ihrem gesamten Erscheinungsbild auf Erwerb ausgerichtet ist (BGE 125 II 113, Erw. 5e f.; Urteile des Bundesgerichts 2C_929/2014 vom</w:t>
      </w:r>
    </w:p>
    <w:p>
      <w:r>
        <w:rPr>
          <w:b/>
        </w:rPr>
        <w:t>E. 7</w:t>
      </w:r>
    </w:p>
    <w:p>
      <w:r>
        <w:t>Juli 2021 fand die Einspracheverhandlung statt. Mit Entscheid vom 1. September 2021 wies die Steuerkommission Q._____ die Einsprache von A._____ ab. 3. Mit Schreiben vom 7. Oktober 2021 liess A._____ beim Spezialverwal- tungsgericht, Abt. Steuern, Rekurs erheben. Dieses entschied am 20. Juli 2023: 1. Der Rekurs wird abgewiesen. 2. Der Rekurrent hat die Kosten des Rekursverfahrens, bestehend aus einer Staatsgebühr von CHF 1'100.00, der Kanzleigebühr von CHF 240.00 und den Auslagen von CHF 100.00, zusammen CHF1'440.00 zu bezahlen. 3. Es wird keine Parteientschädigung ausgerichtet. D. 1. Mit Beschwerde vom 3. September 2023 (eingegangen 15. September 2023) gelangte der Beschwerdeführer an das Verwaltungsgericht und stellte folgende Anträge:</w:t>
      </w:r>
    </w:p>
    <w:p>
      <w:r>
        <w:t>- 4 - 1. Es sei das Gerichtsurteil vom 20. Juli 2023 aufzuheben; 2. Es sei der Beschwerdeführer mit Bezug auf die Kantons- und Gemeinde- steuern 2012 auf Grundlage eines Verlustes aus selbständiger Erwerbstä- tigkeit (Wertschriftenhandel) i.H.v. CHF 55'103.25 und ansonsten deklara- tionsgemäss zu veranlagen; 3. Eine allfällige Beschwerdeantwort sei dem Beschwerdeführer zur Stellung- nahme, jedenfalls aber zur Kenntnisnahme zuzuleiten; Alles unter Kosten- und Entschädigungsfolgen zulasten des Beschwerde- gegners. 2. In seiner Eingabe vom 15. September 2023 verzichtete das Spezialverwal- tungsgericht, Abt. Steuern, auf die Erstattung einer Vernehmlassung. Das Kantonale Steueramt verwies in ihrer Beschwerdeantwort vom 19. Oktober 2023 vollumfänglich auf die Ausführungen des Spezialverwaltungsgerichts und beantragte die Abweisung der Beschwerde. 3. Das Verwaltungsgericht hat den Fall am 28. April 2025 beraten und ent- schieden. Das Verwaltungsgericht zieht in Erwägung: I. 1. Das Verwaltungsgericht beurteilt Beschwerden gegen Entscheide des Spe- zialverwaltungsgerichts, Abt. Steuern, in Kantons- und Gemeindesteuersa- chen (§ 198 Abs. 1 des Steuergesetzes des Kantons Aargau vom 15. De- zember 1998 [StG; SAR 651.100]; § 54 Abs. 1 des Gesetzes über die Ver- waltungsrechtspflege vom 4. Dezember 2004 [VRPG; SAR 271.200]). Es ist somit zur Behandlung des vorliegenden Falls zuständig und überprüft den angefochtenen Entscheid im Rahmen der Beschwerdeanträge auf un- richtige oder unvollständige Feststellung des Sachverhalts sowie Rechts- verletzungen (§ 199 StG; § 48 Abs. 2 und § 55 Abs. 1 VRPG). 2. Die übrigen Prozessvoraussetzungen geben zu keinen Bemerkungen An- lass. Auf die form- und fristgerecht eingereichte Beschwerde ist vollumfäng- lich einzutreten.</w:t>
      </w:r>
    </w:p>
    <w:p>
      <w:r>
        <w:t>- 5 - II. 1. Die Vorinstanz hat in ihrem Urteil vom 20. Juli 2023 im Wesentlichen erwo- gen, dass es sich bei den Öl-Handelsaktivitäten des Beschwerdeführers in den Steuerperioden 2010 und 2011 und dem Wertschriftenhandel in der Steuerperiode 2012 um unterschiedliche Tätigkeiten gehandelt habe, wel- che steuerlich separat zu würdigen seien. Da es dem Beschwerdeführer bei seiner Wertschriftenhandelstätigkeit in der relevanten Steuerperiode 2012 an der objektiven Gewinnstrebigkeit gemangelt habe und zudem we- der spezielles Fachwissen noch ein systematisches oder planmässiges Vorgehen des Beschwerdeführers vorgelegen habe, handle es sich bei die- ser Tätigkeit nicht um eine selbständige Erwerbstätigkeit. Der steuerliche Abzug der erlittenen Verluste in der Höhe von Fr. 55'103.00 sei deshalb zurecht verweigert worden. 2. Der Beschwerdeführer hingegen sieht in seiner Öl-Handelstätigkeit starke Parallelen zum ab der Steuerperiode 2012 ausgeübten Wertschriftenhan- del, weshalb eine steuerliche Ungleichbehandlung unzulässig sei. Zudem seien die Prüfkriterien des gewerbsmässigen Wertschriftenhandels alle- samt erfüllt und auch an der objektiven Gewinnstrebigkeit seiner Wert- schriftenhandelstätigkeit habe es nicht gemangelt. 3.</w:t>
      </w:r>
    </w:p>
    <w:p>
      <w:r>
        <w:rPr>
          <w:b/>
        </w:rPr>
        <w:t>E. 10</w:t>
      </w:r>
    </w:p>
    <w:p>
      <w:r>
        <w:t>August 2015, Erw. 4.1; 2C_1048/2013 vom 25. August 2014, Erw. 2.3; 2C_868/2008 vom 23. Oktober 2009, Erw. 2.3 ff.; vgl. zum Ganzen auch das Kreisschreiben der Eidgenössischen Steuerverwaltung Nr. 36 "Ge- werbsmässiger Wertschriftenhandel" vom 27. Juli 2012 [nachfolgend Kreis- schreiben Nr. 36]). Im Hinblick auf diese Indizien erwog das Bundesgericht im bereits erwähn- ten Urteil 2C_868/2008 vom 23. Oktober 2009, Erwägung 2.7, für die</w:t>
      </w:r>
    </w:p>
    <w:p>
      <w:r>
        <w:t>- 7 - Frage, ob gewerbsmässiger Wertschriftenhandel vorliege, seien insbeson- dere die Höhe des Transaktionsvolumens (d. h. die Summe aller Kauf- preise und Verkaufserlöse) sowie der Einsatz erheblicher fremder Mittel zur Finanzierung der Geschäfte als massgebliche Kriterien zu berücksichtigen. Demgegenüber hätten die Indizien des systematischen und planmässigen Vorgehens sowie des Einsatzes spezieller Fachkenntnis nur noch unterge- ordnete Bedeutung (vgl. auch Urteil des Bundesgerichts 2C_385/2011 vom</w:t>
      </w:r>
    </w:p>
    <w:p>
      <w:r>
        <w:rPr>
          <w:b/>
        </w:rPr>
        <w:t>E. 12</w:t>
      </w:r>
    </w:p>
    <w:p>
      <w:r>
        <w:t>September 2011, Erw. 2.1) lediglich untergeordnete Relevanz zu. Sie begründen für sich alleine keine selbständige Erwerbstätigkeit, dienen aber der Bestärkung, wenn im Vordergrund stehende Kriterien bereits erfüllt sind (vgl. Kreisschreiben Nr. 36, Ziff. 4.3.2). Hinsichtlich des Kriteriums der systematischen Vorgehensweise des Be- schwerdeführers ist auf die obigen Erwägungen II/4.2.4 zu verweisen, wo- nach dem Beschwerdeführer ein gewisses systematisches Vorgehen zu- gutegehalten werden muss. Zum Einsatz spezifischer Fachkenntnisse bringt der Beschwerdeführer selbst vor, er könne seine private Weiterbildung im Bereich des Wertschrif- tenhandels mittels Bücher, Expertenmeinungen, YouTube-Videos und dem Austausch mit der Trader-Community nicht beweisen. Ein enger Zusam- menhang des Wertschriftenhandels mit der beruflichen Tätigkeit des Be- schwerdeführers ist, wie von der Vorinstanz zutreffend ausgeführt, auch nicht zu erkennen. Das Vorliegen spezieller Fachkenntnisse des Beschwer- deführers ist demnach nicht belegt. 6. Zusammenfassend sprechen das Transaktionsvolumen, die Häufigkeit der Transaktionen, die Haltedauer, das Handeln mit Derivaten, der Einsatz von Fremdkapital sowie das systematische Vorgehen des Beschwerdeführers für das Vorliegen eines gewerbsmässigen Wertschriftenhandels in der Steuerperiode 2012. Entscheidend ist jedoch, dass es dem Beschwerde- führer, wie in Erwägung II/4.2 ausführlich dargelegt, vorliegend an der ob- jektiven Gewinnstrebigkeit gemangelt hat, da die Art und Weise, wie der Beschwerdeführer den Wertschriftenhandel betrieben hat, objektiv nicht dazu geeignet war, um nachhaltig einen Gewinn zu erzielen. Damit lag im Wertschriftenhandel in der Steuerperiode 2012 keine selbständige Er- werbstätigkeit des Beschwerdeführers vor und die erlittenen Verluste in der Höhe von Fr. 55'103.00 sind steuerlich nicht abzugsfähig. Die Beschwerde ist dementsprechend abzuweisen.</w:t>
      </w:r>
    </w:p>
    <w:p>
      <w:r>
        <w:t>- 17 - III. Bei diesem Ausgang des Verfahrens wird der Beschwerdeführer kosten- pflichtig (§ 189 Abs. 1 StG; § 31 Abs. 2 VRPG). Parteikostenersatz fällt aus- ser Betracht (§ 189 Abs. 2 StG; § 31 Abs. 2 VRPG).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