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WBE.2023.246 vom 14. November 2024</w:t>
      </w:r>
    </w:p>
    <w:p>
      <w:r>
        <w:t>AG Verwaltungsgericht, 2024-11-14, DE</w:t>
      </w:r>
    </w:p>
    <w:p>
      <w:r>
        <w:rPr>
          <w:b/>
        </w:rPr>
        <w:t xml:space="preserve">Quelle: </w:t>
      </w:r>
      <w:r>
        <w:t>https://mcp.opencaselaw.ch/entscheid/ag_verwaltungsgericht_WBE.2023.246</w:t>
      </w:r>
    </w:p>
    <w:p>
      <w:r>
        <w:t>FR: AG_VERWALTUNGSGERICHT WBE.2023.246 du 14 novembre 2024</w:t>
      </w:r>
    </w:p>
    <w:p>
      <w:r>
        <w:t>IT: AG_VERWALTUNGSGERICHT WBE.2023.246 del 14 novembre 2024</w:t>
      </w:r>
    </w:p>
    <w:p>
      <w:pPr>
        <w:pStyle w:val="Heading2"/>
      </w:pPr>
      <w:r>
        <w:t>Erwägungen</w:t>
      </w:r>
    </w:p>
    <w:p>
      <w:r>
        <w:rPr>
          <w:b/>
        </w:rPr>
        <w:t>E. 7</w:t>
      </w:r>
    </w:p>
    <w:p>
      <w:r>
        <w:t>Unter den dargelegten Umständen ist sodann nicht zu beanstanden, wenn die Vorinstanz die Erteilung einer Härtefallbewilligung im Sinne von Art. 30</w:t>
      </w:r>
    </w:p>
    <w:p>
      <w:r>
        <w:t>- 21 - Abs. 1 lit. b AIG verneint (act. 13). Liegen keine wichtigen persönlichen Gründe nach Art. 50 Abs. 1 lit. b i.V.m. Art. 50 Abs. 2 AIG vor und werden bei der Prüfung dieser Frage die Kriterien gemäss Art. 31 VZAE berück- sichtigt, liegt regelmässig auch kein schwerwiegender persönlicher Härte- fall im Sinne von Art. 30 Abs. 1 lit. b AIG vor. Es sind denn auch keine Um- stände ersichtlich oder werden vorgebracht, die unabhängig von der Ehe bzw. der geltend gemachten ehelichen Gewalt auf das Bestehen einer sol- chen Härtefallsituation hindeuten würden (siehe vorne Erw. II/6.2.2 f.).</w:t>
      </w:r>
    </w:p>
    <w:p>
      <w:r>
        <w:rPr>
          <w:b/>
        </w:rPr>
        <w:t>E. 8</w:t>
      </w:r>
    </w:p>
    <w:p>
      <w:r>
        <w:t>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 tionsregulatorischen Überlegungen erschöpft (vgl. zum Ganzen Art. 31 Abs. 1 VZAE mit Art. 96 Abs. 1 AIG; Entscheid des Verwaltungsgerichts WBE.2021.346 vom 28. März 2022, Erw. II/8). Im Rahmen der vorstehenden Erwägungen wurde unter Berücksichtigung der Kriterien von Art. 31 VZAE festgestellt, dass bei der Beschwerde- führerin, die ihren abgeleiteten Bewilligungsanspruch zwecks Verbleibs bei ihrem früheren Ehemann verloren hat (siehe vorne Erw. II/5), weder ein nachehelicher Härtefall (siehe vorne Erw. II/6.2) noch ein schwerwiegender persönlicher Härtefall (siehe vorne Erw. II/7) vorliegt. Damit steht fest, dass die Nichtverlängerung der bisherigen sowie die Verweigerung einer neuen Aufenthaltsbewilligung und die Wegweisung der Beschwerdeführerin aus der Schweiz auch vor dem Gebot der Verhältnismässigkeit standhalten. Auf eine erneute Darlegung und detaillierte Bemessung der zu berücksichtigen- den Interessen kann unter diesen Umständen verzichtet werden.</w:t>
      </w:r>
    </w:p>
    <w:p>
      <w:r>
        <w:rPr>
          <w:b/>
        </w:rPr>
        <w:t>E. 9</w:t>
      </w:r>
    </w:p>
    <w:p>
      <w:r>
        <w:t>Hinsichtlich der Prüfung, ob die Verweigerung des weiteren Aufenthalts der Beschwerdeführerin in der Schweiz und die damit verbundene Wegwei- sung vor Art. 8 EMRK und Art. 13 BV standhalten, kann auf die zutreffen- den Ausführungen der Vorinstanz verwiesen werden (act. 13 f.). Eine Ver- letzung von Art. 8 EMRK oder Art. 13 BV ist nicht ersichtlich und wird auch nicht behauptet.</w:t>
      </w:r>
    </w:p>
    <w:p>
      <w:r>
        <w:t>- 22 -</w:t>
      </w:r>
    </w:p>
    <w:p>
      <w:r>
        <w:rPr>
          <w:b/>
        </w:rPr>
        <w:t>E. 10</w:t>
      </w:r>
    </w:p>
    <w:p>
      <w:r>
        <w:t>Mit der Vorinstanz ist schliesslich festzuhalten, dass keine Hinweise er- sichtlich sind, wonach der Vollzug der Wegweisung im Sinne von Art. 83 AIG unzulässig, unmöglich oder unzumutbar sein könnte (act. 13 f.). Die Beschwerdeführerin macht in ihrer Beschwerde denn auch keine Vollzugs- hindernisse geltend.</w:t>
      </w:r>
    </w:p>
    <w:p>
      <w:r>
        <w:rPr>
          <w:b/>
        </w:rPr>
        <w:t>E. 11</w:t>
      </w:r>
    </w:p>
    <w:p>
      <w:r>
        <w:t>Zusammenfassend steht fest, dass die Nichtverlängerung der bisherigen sowie die Verweigerung einer neuen Aufenthaltsbewilligung und die Weg- weisung der Beschwerdeführerin gemäss nationalem Recht nicht zu bean- standen sind und vor Art. 8 EMRK standhalten. Nachdem auch dem Voll- zug der Wegweisung keine Hindernisse entgegenstehen, ist der Entscheid der Vorinstanz nicht zu beanstanden und die Beschwerde ist abzuweisen. III. Im Beschwerdeverfahren werden die Verfahrenskosten nach Massgabe des Obsiegens und Unterliegens auf die Parteien verlegt (§ 31 Abs. 2 VRPG). Nachdem die Beschwerdeführerin unterliegt, gehen die Kosten des verwaltungsgerichtlichen Verfahrens zu ihren Lasten. Ein Parteikostener- satz fällt ausser Betracht (§ 32 Abs. 2 VRPG). Parteikosten für das Ein- spracheverfahren, wie von der Beschwerdeführerin geltend gemacht, wer- den nicht ersetzt (§ 32 Abs. 1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