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WBE.2023.241 vom 11. September 2023</w:t>
      </w:r>
    </w:p>
    <w:p>
      <w:r>
        <w:t>AG Verwaltungsgericht, 2023-09-11, DE</w:t>
      </w:r>
    </w:p>
    <w:p>
      <w:r>
        <w:rPr>
          <w:b/>
        </w:rPr>
        <w:t xml:space="preserve">Quelle: </w:t>
      </w:r>
      <w:r>
        <w:t>https://mcp.opencaselaw.ch/entscheid/ag_verwaltungsgericht_WBE.2023.241</w:t>
      </w:r>
    </w:p>
    <w:p>
      <w:r>
        <w:t>FR: AG_VERWALTUNGSGERICHT WBE.2023.241 du 11 septembre 2023</w:t>
      </w:r>
    </w:p>
    <w:p>
      <w:r>
        <w:t>IT: AG_VERWALTUNGSGERICHT WBE.2023.241 del 11 settembre 2023</w:t>
      </w:r>
    </w:p>
    <w:p>
      <w:pPr>
        <w:pStyle w:val="Heading2"/>
      </w:pPr>
      <w:r>
        <w:t>Erwägungen</w:t>
      </w:r>
    </w:p>
    <w:p>
      <w:r>
        <w:rPr>
          <w:b/>
        </w:rPr>
        <w:t>E. 2</w:t>
      </w:r>
    </w:p>
    <w:p>
      <w:r>
        <w:t>Nachdem beim Gemeindesteueramt Q. innert der letzten Mahnfrist keine Steuererklärung eingegangen war, wurde beim Kantonalen Steueramt (KStA), Sektion Bezug, zulasten von A. B. ein Bussenantrag gestellt.</w:t>
      </w:r>
    </w:p>
    <w:p>
      <w:r>
        <w:rPr>
          <w:b/>
        </w:rPr>
        <w:t>E. 3</w:t>
      </w:r>
    </w:p>
    <w:p>
      <w:r>
        <w:t>Am 23. November 2022 erliess das KStA, Sektion Bezug, einen Strafbefehl gegen A. B. und verurteilte sie wegen Verletzung von Verfahrenspflichten zu einer Busse von Fr. 175.00 sowie zu den Verfahrenskosten von Fr. 100.00.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