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WBE.2023.196 vom 2. Juni 2023</w:t>
      </w:r>
    </w:p>
    <w:p>
      <w:r>
        <w:t>AG Verwaltungsgericht, 2023-06-02, DE</w:t>
      </w:r>
    </w:p>
    <w:p>
      <w:r>
        <w:rPr>
          <w:b/>
        </w:rPr>
        <w:t xml:space="preserve">Quelle: </w:t>
      </w:r>
      <w:r>
        <w:t>https://mcp.opencaselaw.ch/entscheid/ag_verwaltungsgericht_WBE.2023.196</w:t>
      </w:r>
    </w:p>
    <w:p>
      <w:r>
        <w:t>FR: AG_VERWALTUNGSGERICHT WBE.2023.196 du 2 juin 2023</w:t>
      </w:r>
    </w:p>
    <w:p>
      <w:r>
        <w:t>IT: AG_VERWALTUNGSGERICHT WBE.2023.196 del 2 giugno 2023</w:t>
      </w:r>
    </w:p>
    <w:p>
      <w:pPr>
        <w:pStyle w:val="Heading2"/>
      </w:pPr>
      <w:r>
        <w:t>Erwägungen</w:t>
      </w:r>
    </w:p>
    <w:p>
      <w:r>
        <w:rPr>
          <w:b/>
        </w:rPr>
        <w:t>E. 1</w:t>
      </w:r>
    </w:p>
    <w:p>
      <w:r>
        <w:t>Das Familiengericht S. ordnete mit Verfügung vom 10. Mai 2023 superprovisorisch die fürsorgerische Unterbringung von A. in der Klinik der Psychiatrischen Dienste Aargau AG (PDAG) für vorläufig 21 Tage zur Abklärung des medizinischen bzw. psychiatrischen Behandlungsbedarfs an.</w:t>
      </w:r>
    </w:p>
    <w:p>
      <w:r>
        <w:rPr>
          <w:b/>
        </w:rPr>
        <w:t>E. 1.1</w:t>
      </w:r>
    </w:p>
    <w:p>
      <w:r>
        <w:t>Gemäss Art. 426 Abs. 1 ZGB darf eine Person, die an einer psychischen Störung oder an geistiger Behinderung leidet oder schwer verwahrlost ist, in einer geeigneten Einrichtung untergebracht werden, wenn die nötige Be- handlung oder Betreuung nicht anders erfolgen kann. Die fürsorgerische Unterbringung darf angeordnet werden, wenn gestützt auf ein aktuelles Gutachten oder eine medizinische bzw. psychiatrische Fachmeinung fest- steht, dass die Voraussetzungen für eine fürsorgerische Unterbringung</w:t>
      </w:r>
    </w:p>
    <w:p>
      <w:r>
        <w:t>- 4 - erfüllt sind (vgl. LUCA MARANTA, in: Basler Kommentar, Zivilgesetzbuch I [BSK ZGB I], 7. Aufl. 2022, N. 17 zu Art. 446 ZGB). Ein Sachverständigengutachten ist anzuordnen, wenn der Kindes- und Er- wachsenenschutzbehörde das nötige Fachwissen fehlt, um über eine zur Diskussion stehende Massnahme zu entscheiden. Erforderlich wird die Konsultation von externem Fachwissen vor allem bei fürsorgerischen Un- terbringungen oder Einschränkungen der Handlungsfähigkeit wegen einer psychischen Störung oder einer geistigen Behinderung, aber wohl auch bei ambulanten Massnahmen zur Behandlung einer psychischen Störung. Die Kindes- und Erwachsenenschutzbehörde muss in diesen Fällen jedoch nicht stets und automatisch ein Expertengutachten einholen. Sie kann da- rauf verzichten, wenn sie über ein hinreichend aktuelles Gutachten verfügt oder eine psychiatrisch/medizinisch geschulte Fachperson im Spruchkör- per hat (vgl. Aargauische Gerichts- und Verwaltungsentscheide [AGVE] 2015, S. 85, Erw. 2.2.3; MARANTA, a.a.O., N. 17 f. zu Art. 446 ZGB). Ein aus einem Juristen, einem diplomierten Sozialarbeiter HSA und einem Fachpsychologen für Psychotherapie FSP mit einem lic.phil.-Abschluss und einem Master of Advanced Studies in Psychotherapy zusammenge- setzter Spruchkörper genügt hingegen nicht, um ohne Gutachten über die Fortsetzung einer fürsorgerischen Unterbringung oder ambulante psychia- trische bzw. medizinische Massnahmen zu entscheiden (vgl. Urteil des Obergerichts des Kantons Bern vom 10. November 2014 [KES 14 709], pu- bliziert in: CAN [Zeitschrift für kantonale Rechtsprechung], Heft 1/2015, S. 23 ff., Erw. 3.2.2).</w:t>
      </w:r>
    </w:p>
    <w:p>
      <w:r>
        <w:rPr>
          <w:b/>
        </w:rPr>
        <w:t>E. 1.2</w:t>
      </w:r>
    </w:p>
    <w:p>
      <w:r>
        <w:t>Das Familiengericht S. hat die Beschwerdeführerin in der vom Gesetz (§ 3 Abs. 4 lit. a des Gerichtsorganisationsgesetzes vom 6. Dezember 2011 [GOG; SAR 155.200]) vorgesehenen Dreierbesetzung angehört und anschliessend den vorliegend angefochtenen Unterbringungsentscheid vom 11. Mai 2023 gefällt. Der Spruchkörper setzte sich zusammen aus dem Gerichtspräsidenten lic. iur. F., der hauptamtlichen Fachrichterin G., der nebenamtlichen Fachrichterin H. sowie der Gerichtsschreiberin MLaw I. mit beratender Stimme. Gerichtspräsident F. verfügt als Fürsprecher über juristisches Fachwissen, Fachrichterin G. ist im Bereich der sozialen Arbeit tätig und Fachrichterin H. verfügt über einen Abschluss als Dipl. Psychologin FH. Im Spruchkörper fehlte es somit an einer psychiatrisch/medizinisch geschulten Fachperson. Der Mangel an ausreichender psychiatrisch/medizinischer Fachkunde dürfte denn auch dazu geführt haben, dass es das Familiengericht S. als notwendig befand, die Klinik der PDAG zu beauftragen, innert 14 Tagen seit Anordnung der fürsorgerischen Unterbringung den Zustand der Beschwerdeführerin abzuklären sowie den medizinischen und psychiatri-</w:t>
      </w:r>
    </w:p>
    <w:p>
      <w:r>
        <w:t>- 5 - schen Handlungsbedarf darzulegen (vgl. Unterbringungsentscheid, Dispo- sitiv-Ziff. 1.2; Protokoll der Anhörung vom 11. Mai 2023, S. 2 [Akten des Familiengerichts, act. 54]). Im vorliegenden Fall fehlt es für die Anordnung einer fürsorgerischen Un- terbringung an der Einschätzung einer psychiatrisch/medizinisch geschul- ten Fachperson. Damit ist der Unterbringungsentscheid schon aus diesem Grund aufzuheben. 2.</w:t>
      </w:r>
    </w:p>
    <w:p>
      <w:r>
        <w:rPr>
          <w:b/>
        </w:rPr>
        <w:t>E. 2</w:t>
      </w:r>
    </w:p>
    <w:p>
      <w:r>
        <w:t>Mit Entscheid vom 11. Mai 2023 bestätigte das Familiengericht S. die superprovisorische Verfügung und ordnete die fürsorgerische Unter- bringung von A. in der Klinik der PDAG "gestützt auf Art. 426 Abs. 1 ZGB zur weiteren Abklärung und Behandlung ihres Zustands" an. Die Klinik der PDAG wurde gleichzeitig aufgefordert, den medizinischen und psychiatrischen Handlungsbedarf abzuklären und innert 14 Tagen einen entsprechenden Bericht zur weiteren Betreuungs- und Behandlungs- planung von A. einzureichen.</w:t>
      </w:r>
    </w:p>
    <w:p>
      <w:r>
        <w:rPr>
          <w:b/>
        </w:rPr>
        <w:t>E. 2.1</w:t>
      </w:r>
    </w:p>
    <w:p>
      <w:r>
        <w:t>Beim vorliegenden Verfahrensausgang ist die Beschwerdeführerin als voll- ständig obsiegend zu betrachten. Entsprechend hat sie Anspruch auf die Ausrichtung einer Parteientschädigung (vgl. Art. 450f ZGB i.V.m. Art. 106 ZPO). Das Gesuch um unentgeltliche Rechtspflege wird damit gegen- standslos.</w:t>
      </w:r>
    </w:p>
    <w:p>
      <w:r>
        <w:rPr>
          <w:b/>
        </w:rPr>
        <w:t>E. 2.2</w:t>
      </w:r>
    </w:p>
    <w:p>
      <w:r>
        <w:t>Das Dekret über die Entschädigung der Anwälte (Anwaltstarif; SAR 291.150) vom 10. November 1987 regelt die Entschädigung des An- waltes für die Vertretung und Verbeiständung einer Partei in Verfahren vor aargauischen Gerichts- und Verwaltungsbehörden (§ 1 Abs. 1 Anwaltsta- rif). Gemäss § 3 Abs. 1 lit. b Anwaltstarif beträgt die Grundentschädigung für die Vertretung und Verbeiständung einer Partei in Verfahren, die das Vermögen der Parteien weder direkt noch indirekt beeinflussen, nach dem mutmasslichen Aufwand des Anwaltes, nach der Bedeutung und der Schwierigkeit des Falles Fr. 1'210.00 bis Fr. 14'740.00. Durch die Grund-</w:t>
      </w:r>
    </w:p>
    <w:p>
      <w:r>
        <w:t>- 7 - entschädigung sind abgegolten: Instruktion, Aktenstudium, rechtliche Ab- klärungen, Korrespondenz und Telefongespräche sowie eine Rechtsschrift und die Teilnahme an einer behördlichen Verhandlung (§ 6 Abs. 1 Anwalts- tarif). Erfordert ein Verfahren nur geringe Aufwendungen, vermindert sich die Entschädigung gemäss den §§ 3 – 6 Anwaltstarif um bis zu 50 % (§ 7 Abs. 2 Anwaltstarif). Gemäss § 13 Abs. 1 Anwaltstarif sind dem Anwalt ne- ben der Entschädigung sämtliche notwendigen Auslagen (Gerichts- und Betreibungskosten, Vorschüsse, Reisespesen, Porti, Telefon-, Telex- und Telefaxgebühren, Kopien usw.) zu ersetzen.</w:t>
      </w:r>
    </w:p>
    <w:p>
      <w:r>
        <w:rPr>
          <w:b/>
        </w:rPr>
        <w:t>E. 2.3</w:t>
      </w:r>
    </w:p>
    <w:p>
      <w:r>
        <w:t>In Anbetracht des mutmasslichen Aufwandes, der Bedeutung und der Schwierigkeit des Falles erscheint die vom Rechtsvertreter der Beschwer- deführerin im Nachgang an die Verhandlung vom 2. Juni 2023 eingereichte Honorarnote genehmigungsfähig und es kann eine Parteientschädigung in der Höhe von Fr. 2'264.15 ausgerichtet werden. Das Verwaltungsgericht erkennt:</w:t>
      </w:r>
    </w:p>
    <w:p>
      <w:r>
        <w:rPr>
          <w:b/>
        </w:rPr>
        <w:t>E. 3</w:t>
      </w:r>
    </w:p>
    <w:p>
      <w:r>
        <w:t>Mit Eingabe vom 19. Mai 2023 (Postaufgabe: 22. Mai 2023; Posteingang beim Bezirksgericht S.: 25. Mai 2023) erhob A. Beschwerde gegen den Unterbringungsentscheid.</w:t>
      </w:r>
    </w:p>
    <w:p>
      <w:r>
        <w:rPr>
          <w:b/>
        </w:rPr>
        <w:t>E. 4</w:t>
      </w:r>
    </w:p>
    <w:p>
      <w:r>
        <w:t>Mit Schreiben vom 23. Mai 2023 (Eingang beim Verwaltungsgericht per E-Mail: 26. Mai 2023) teilte lic. iur. Martin Schwaller, Rechtsanwalt, Aarau, mit, dass er von A. mandatiert worden sei. Er reichte seine Vollmacht ein und ersuchte um Akteneinsicht sowie Gewährung der unentgeltlichen Rechtspflege.</w:t>
      </w:r>
    </w:p>
    <w:p>
      <w:r>
        <w:rPr>
          <w:b/>
        </w:rPr>
        <w:t>E. 5</w:t>
      </w:r>
    </w:p>
    <w:p>
      <w:r>
        <w:t>Mit Instruktionsverfügung vom 30. Mai 2023 wurden verschiedene Beweis- anordnungen getroffen. Insbesondere wurde die Beschwerde der Klinik der PDAG zur Erstattung eines schriftlichen Berichts zugestellt. Die Mutter der Beschwerdeführerin, B., wurde als Zeugin vorgeladen. Des Weiteren wurde Dr. med. C., Fachärztin für Psychiatrie und Psychotherapie, als Gutachterin</w:t>
      </w:r>
    </w:p>
    <w:p>
      <w:r>
        <w:t>- 3 - bestimmt und es wurde zu einer Verhandlung auf den 2. Juni 2023 vorgeladen</w:t>
      </w:r>
    </w:p>
    <w:p>
      <w:r>
        <w:rPr>
          <w:b/>
        </w:rPr>
        <w:t>E. 6</w:t>
      </w:r>
    </w:p>
    <w:p>
      <w:r>
        <w:t>Mit Eingabe vom 30. Mai 2023 reichte das Familiengericht weitere Akten ein.</w:t>
      </w:r>
    </w:p>
    <w:p>
      <w:r>
        <w:rPr>
          <w:b/>
        </w:rPr>
        <w:t>E. 7</w:t>
      </w:r>
    </w:p>
    <w:p>
      <w:r>
        <w:t>Der seitens der Klinik der PDAG verfasste Bericht vom 31. Mai 2023 ging am 1. Juni 2023 beim Verwaltungsgericht ein.</w:t>
      </w:r>
    </w:p>
    <w:p>
      <w:r>
        <w:rPr>
          <w:b/>
        </w:rPr>
        <w:t>E. 8.1</w:t>
      </w:r>
    </w:p>
    <w:p>
      <w:r>
        <w:t>An der Verhandlung vom 2. Juni 2023 in den Räumlichkeiten der Klinik der PDAG nahmen die Beschwerdeführerin, ihr Rechtsvertreter, ihre Mutter so- wie für die PDAG Dr. med. D. und Frau E., Pflegefachfrau, teil. Ausserdem war die erwähnte Gutachterin anwesend.</w:t>
      </w:r>
    </w:p>
    <w:p>
      <w:r>
        <w:rPr>
          <w:b/>
        </w:rPr>
        <w:t>E. 8.2</w:t>
      </w:r>
    </w:p>
    <w:p>
      <w:r>
        <w:t>An der Verhandlung vom 2. Juni 2023 fällte das Verwaltungsgericht das vorliegende Urteil, welches den Beteiligten mit einer kurzen Begründung mündlich eröffnet wurde. Das Verwaltungsgericht zieht in Erwägung: I.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450 Abs. 1 des Schweizerischen Zivilgesetzbuchs vom 10. De- zember 1907 (ZGB; SR 210) gegen den Entscheid des Familiengerichts S. vom 11. Mai 2023 betreffend fürsorgerische Unterbringung zuständig.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