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WBE.2023.157 vom 8. April 2024</w:t>
      </w:r>
    </w:p>
    <w:p>
      <w:r>
        <w:t>AG Verwaltungsgericht, 2024-04-08, DE</w:t>
      </w:r>
    </w:p>
    <w:p>
      <w:r>
        <w:rPr>
          <w:b/>
        </w:rPr>
        <w:t xml:space="preserve">Quelle: </w:t>
      </w:r>
      <w:r>
        <w:t>https://mcp.opencaselaw.ch/entscheid/ag_verwaltungsgericht_WBE.2023.157</w:t>
      </w:r>
    </w:p>
    <w:p>
      <w:r>
        <w:t>FR: AG_VERWALTUNGSGERICHT WBE.2023.157 du 8 avril 2024</w:t>
      </w:r>
    </w:p>
    <w:p>
      <w:r>
        <w:t>IT: AG_VERWALTUNGSGERICHT WBE.2023.157 del 8 aprile 2024</w:t>
      </w:r>
    </w:p>
    <w:p>
      <w:pPr>
        <w:pStyle w:val="Heading2"/>
      </w:pPr>
      <w:r>
        <w:t>Erwägungen</w:t>
      </w:r>
    </w:p>
    <w:p>
      <w:r>
        <w:rPr>
          <w:b/>
        </w:rPr>
        <w:t>E. 2</w:t>
      </w:r>
    </w:p>
    <w:p>
      <w:r>
        <w:t>Es werden keine Gebühren erhoben.</w:t>
      </w:r>
    </w:p>
    <w:p>
      <w:r>
        <w:rPr>
          <w:b/>
        </w:rPr>
        <w:t>E. 2.1</w:t>
      </w:r>
    </w:p>
    <w:p>
      <w:r>
        <w:t>Das Verwaltungsgericht hat sich erstmals mit Entscheid WBE.2020.8 vom</w:t>
      </w:r>
    </w:p>
    <w:p>
      <w:r>
        <w:rPr>
          <w:b/>
        </w:rPr>
        <w:t>E. 2.2</w:t>
      </w:r>
    </w:p>
    <w:p>
      <w:r>
        <w:t>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Bundesblatt [BBl] 2013 2397, 2016 2821) neu ins Gesetz eingefügt und per 1. Januar 2019 in Kraft ge- 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VZAE; vgl. Entscheid des Verwaltungsgerichts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 3. Nach dem Gesagten haben im vorliegenden Fall die Vorinstanzen zu Recht eine Rückstufung der ausländerrechtlichen Bewilligung des Beschwerde- führers gemäss Art. 63 Abs. 2 AIG geprüft, nachdem sie zum Schluss ge- langt waren, dass ein Widerruf mit einer Wegweisung rechtlich unzulässig wäre, da das Regionalgericht Berner Jura-Seeland in seinem Urteil vom 24. Februar 2022 implizit auf eine Landesverweisung verzichtet hatte (Art. 63 Abs. 3 AIG; MI-act. 107 f., Erw. II/2; act. 4, Erw. II/2.3).</w:t>
      </w:r>
    </w:p>
    <w:p>
      <w:r>
        <w:t>- 8 - Im Folgenden ist zu prüfen, ob die Vorinstanz die durch das MIKA verfügte Rückstufung der ausländerrechtlichen Bewilligung des Beschwerdeführers zu Recht für zulässig befunden hat. 4. 4.1. In einem ersten Schritt ist zu prüfen, ob ein Rückstufungsgrund vorliegt. 4.2. 4.2.1. Wie bereits ausgeführt liegt ein Rückstufungsgrund im Sinne von Art. 63 Abs. 2 AIG vor, wenn sich erweist, dass die betroffene Person eines oder mehrere der in Art. 58a Abs. 1 AIG genannten Integrationskriterien nicht bzw. nicht mehr erfüllt. 4.2.2.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 brochen und ordnungsgemäss in der Schweiz auf, konnte ihre Niederlas-</w:t>
      </w:r>
    </w:p>
    <w:p>
      <w:r>
        <w:t>- 9 -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Integrationsdefi- zite zu einer Rückstufung führen. D.h. es muss ein aktuelles, zu einem er- heblichen Teil (auch noch) nach dem 1. Januar 2019 verwirklichtes In- tegrationsdefizit von einem gewissen Gewicht bestehen (vgl. BGE 148 II 1, Erw. 5.3; Entscheid des Verwaltungsgerichts WBE.2020.440 vom 18. Juli 2022, Erw. II/3.1 am Schluss). 4.2.3. Im Gegensatz zum Widerruf mit Wegweisung unterliegt die Rückstufung nicht dem Dualismusverbot gemäss Art. 63 Abs. 3 AIG. Ein Verzicht des Strafrichters auf die Anordnung einer Landesverweisung hindert die Migra- tionsbehörden nicht, eine Rückstufung zu verfügen, da die Rückstufung keine Wegweisung beinhaltet. Vielmehr bezweckt sie, mangelhaft in- tegrierte niedergelassene Personen, denen unter dem bisherigen Recht die Niederlassungsbewilligung nicht hätte entzogen werden dürfen, auf eine Aufenthaltsbewilligung zurückstufen zu können, um sie verbindlich an ihre Integrationsverpflichtungen zu erinnern (Entscheid des Verwaltungsge- richts WBE.2020.8 vom 7. Juli 2020, Erw. II/4.1.3, bestätigt durch BGE 148 II 1, Erw. 4.3.2 f.). 4.3. 4.3.1. Gemäss Art. 63 Abs. 2 i.V.m. Art. 58a Abs. 1 lit. a AIG liegt ein Rückstu- fungsgrund vor, wenn eine niederlassungsberechtigte ausländische Per- son das Integrationskriterium der Beachtung der öffentlichen Sicherheit und Ordnung nicht bzw. nicht mehr erfüllt. 4.3.2. 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 Nichtbeachtung der öffentlichen Sicherheit und Ordnung insbesondere dann vor, wenn die betreffende Person gesetzliche Vorschriften und be-</w:t>
      </w:r>
    </w:p>
    <w:p>
      <w:r>
        <w:t>- 10 -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rPr>
          <w:b/>
        </w:rPr>
        <w:t>E. 3</w:t>
      </w:r>
    </w:p>
    <w:p>
      <w:r>
        <w:t>Unter Kosten- und Entschädigungsfolgen zu Lasten der Vorinstanz. In prozessualer Hinsicht beantragte der Beschwerdeführer, die Akten der Vorinstanz seien von Amtes wegen beizuziehen und es sei eine mündliche Verhandlung durchzuführen. Die Begründung ergibt sich, soweit erforderlich, aus den nachstehenden Erwägungen. Nach Eingang des Kostenvorschusses (act. 23 f.) beantragte die Vorinstanz unter Festhalten an ihren Erwägungen im Einspracheentscheid</w:t>
      </w:r>
    </w:p>
    <w:p>
      <w:r>
        <w:t>- 4 - die Abweisung der Beschwerde und reichte aufforderungsgemäss die Akten ein (act. 27). Mit Eingabe vom 26. März 2024 (Postaufgabe: 26. März 2024) teilte die Rechtsvertreterin mit, der Beschwerdeführer habe eine neue Arbeitsstelle, und reichte sodann den neuen temporären Einsatzvertrag ein. Weiter führte sie aus, der Beschwerdeführer werde in Kürze einen festen Arbeitsvertrag erhalten, der umgehend nachgereicht werde (act. 30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28. März 2023. Die Zuständigkeit des Verwaltungsge- 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in: MARTINA CARONI/ THOMAS GÄCHTER/DANIELA THURNHERR [Hrsg.], Stämpflis Handkommentar zum Bundesgesetz über die Ausländerinnen und Ausländer [AuG], Bern 2010, N. 7 zu Art. 96 mit Hinweisen). In diesem Zusammenhang hat das Verwaltungsgericht gemäss bundesgerichtlicher Rechtsprechung insbe-</w:t>
      </w:r>
    </w:p>
    <w:p>
      <w:r>
        <w:t>- 5 - sondere zu klären, ob die Vorinstanz die gemäss Art. 96 des Bundesge- 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(vgl. SCHINDLER, a.a.O., N. 9 zu Art. 96 AuG).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je- mand wie der Beschwerdeführer, der den Widerrufsgrund der längerfristi- gen Freiheitsstrafe gemäss Art. 63 Abs. 1 lit. a i.V.m. Art. 62 Abs. 1 lit. b AIG erfülle und darüber hinaus weitere Straftaten begangen habe, müsse sich vorhalten lassen, das Integrationskriterium der Beachtung der öffent- lichen Sicherheit und Ordnung gemäss Art. 58a Abs. 1 lit. a AIG nicht zu erfüllen. Die Delikte seien in den Jahren 2019 bis 2021 begangen worden, womit ein aktuelles und gewichtiges Integrationsdefizit im Sinne von Art. 63 Abs. 2 AIG vorliege. Die Rückstufung erweise sich als geeignet und erfor- derlich, dies insbesondere angesichts der Schwere der vom Beschwerde- führer begangenen Verfehlungen. Auch wenn er inzwischen wieder über einen Führerausweis verfüge und nach seiner Auffassung eine sehr gute Prognose vorliege, seien Rückfälle nicht auszuschliessen. Die gravieren- den Verstösse des Beschwerdeführers gegen die öffentliche Sicherheit und Ordnung würden ein sehr grosses öffentliches Interesse an einer Rückstu- fung begründen. Zugunsten des Beschwerdeführers sei zu berücksichti- gen, dass er die Straftaten als junger Erwachsener begangen habe und deshalb erwartet werden könne, dass noch ein persönlicher Reifeprozess erfolge. Allerdings müsse der Beschwerdeführer erst noch während eines längeren Zeitraums beweisen, dass er aus den Vorfällen tatsächlich die richtigen Schlüsse gezogen habe. Insgesamt sei daher von einem grossen bis sehr grossen öffentlichen Interesse an der Rückstufung auszugehen. Das entgegenstehende private Interesse sei insgesamt als gross einzu- stufen. So dürfe sich der Beschwerdeführer nach wie vor in der Schweiz aufhalten, habe die Möglichkeit, einer Erwerbstätigkeit nachzugehen und könne damit seine weitere Anwesenheit in der Schweiz sichern. Erhöhend zu berücksichtigen sei, dass der Beschwerdeführer in der Schweiz geboren worden sei und seit jeher über die Niederlassungsbewilligung verfüge. Ferner sei er – abgesehen von der Delinquenz – gut integriert. Im Ergebnis erweise sich die Rückstufung somit auch als zumutbar.</w:t>
      </w:r>
    </w:p>
    <w:p>
      <w:r>
        <w:t>- 6 - 1.2. Der Beschwerdeführer stellt sich demgegenüber zunächst auf den Stand- punkt, für die Beurteilung einer gelungenen oder nicht gelungenen Integra- tion gemäss Art. 58a AIG bedürfe es einer Gesamtbeurteilung aller Integrationskriterien. Es reiche nicht aus, wenn lediglich ein Integrations- kriterium als nicht erfüllt qualifiziert werde. Zwar sei der Beschwerdeführer zu einer Freiheitsstrafe von 22 Monaten verurteilt worden und habe die öffentliche Sicherheit und Ordnung verletzt. Zu berücksichtigen sei aber auch, dass er sämtliche Delikte im noch jugendlichen Alter begangen habe. Er sei unbedacht und beeinflussbar gewesen. Diese Phase habe er in- zwischen überwunden und er stehe mit beiden Beinen im Erwachsenen- leben. Er sei seither nicht mehr delinquent geworden, habe trotz Führer- ausweisentzugs seine Arbeitsstelle behalten können, habe die Verkehrs- therapie erfolgreich absolviert, habe den Führerausweis wieder erlangt und sei auch all seinen finanziellen Verpflichtungen nachgekommen. Es sei in- zwischen von einer ausserordentlich guten Prognose auszugehen, dass der Beschwerdeführer nicht mehr straffällig werde, was sich auch dem psychologischen Gutachten entnehmen lasse. Es sei erstellt, dass der Be- schwerdeführer heute keine Gefahr mehr für die Sicherheit Ordnung dar- stelle. Somit liege kein Rückstufungsgrund mehr vor. Selbst wenn ein sol- cher vorliegen würde, würde nach dem Gesagten die Verhältnismässigkeit der verfügten Massnahme an deren Eignung scheitern. Das Ziel, den Be- schwerdeführer durch die Massnahme an seine Integrationsverpflich- tungen zu erinnern, sei durch die Wiedererlangung des Führerausweises und der fehlenden Gefahr für die öffentliche Sicherheit und Ordnung bereits erfüllt, weshalb die Rückstufung nicht geeignet und erforderlich sei. Er lebe deliktsfrei, weshalb auch das öffentliche Interesse an der Massnahme da- hinfalle. Das private Interesse des Beschwerdeführers, die Niederlas- sungsbewilligung zu behalten, sei als sehr hoch einzustufen, da ihm bei einer Rückstufung erhebliche Nachteile beim Familiennachzug erwachsen würden, er quellenbesteuert würde und sich die Arbeitssuche für Personen mit einer Aufenthaltsbewilligung als schwieriger erweise. Es liege somit kein überwiegendes öffentliches Interesse an einer Rückstufung vor. Über- dies wäre aus Gründen der Verhältnismässigkeit vor einer Rückstufung ohnehin eine ausländerrechtliche Verwarnung auszusprechen. 2.</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 gesetzt und seine Rechtsauffassung unter Berücksichtigung von</w:t>
      </w:r>
    </w:p>
    <w:p>
      <w:r>
        <w:t>- 7 - BGE 148 II 1 (zu WBE.2020.8) mit Entscheid WBE.2020.341 vom 17. No- vember 2022 präzisiert. Zusammengefasst ergibt sich was folgt.</w:t>
      </w:r>
    </w:p>
    <w:p>
      <w:r>
        <w:rPr>
          <w:b/>
        </w:rPr>
        <w:t>E. 8</w:t>
      </w:r>
    </w:p>
    <w:p>
      <w:r>
        <w:t>März 2002 [Botschaft AuG], BBl 2002 3709 ff., 3810; vgl. schliesslich</w:t>
      </w:r>
    </w:p>
    <w:p>
      <w:r>
        <w:t>- 11 - Botschaft des Bundesrats zur Änderung des Ausländergesetzes [Integra- tion] vom 8. März 2013 [Botschaft AIG], BBl 2013 2397 ff., 2428).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 4.3.3. Der Beschwerdeführer wurde im Zeitraum zwischen 2017 und 2020 straf- fällig und erwirkte, soweit aus den Akten ersichtlich, vier rechtskräftige Straferkenntnisse, mit welchen er insgesamt zu einer bedingten Freiheits- strafe von 22 Monaten, zu zwei Geldstrafen von zusammengezählt 160 Ta- gessätzen à Fr. 100.00 und zu vier Bussen von insgesamt Fr. 2'800.00 ver- urteilt wurde (siehe vorne lit. A). Seit Inkrafttreten der Rückstufungs- regelung von Art. 62 Abs. 2 AIG am 1. Januar 2019 wurde er zwei Mal ver- urteilt, wobei die zugrundeliegenden Tathandlungen alle nach dem 1. Ja- nuar 2019 begangen wurden. Insbesondere die Delikte, die zur am schwersten ins Gewicht fallenden Verurteilung zu einer Freiheitsstrafe von 22 Monaten wegen mehrfacher Widerhandlung gegen das Strassenver- kehrsgesetz führten, beging der Beschwerdeführer nach dem 1. Januar 2019. Aus dem Strafurteil des Regionalgerichts Berner Jura-Seeland vom 24. Februar 2022 geht hervor, dass der Beschwerdeführer am 14. Juli 2019 an einem nicht bewilligten Rennen teilgenommen und damit die Verkehrs- regeln qualifiziert grob verletzt hatte (Raserdelikt). Anlässlich dieses nicht bewilligten Rennens kam es zu mehrfach begangenen groben Ver- letzungen von Verkehrsregeln. So überquerte der Beschwerdeführer eine Sicherheitslinie bei einem Überholvorgang eines Fahrzeugs in einer Kurve, passte die Geschwindigkeit nicht an die Sicht- und Strassenverhältnisse an und missachtete den Vortritt eines anderen Fahrzeugs beim Linksabbie- gen. Schliesslich wahrte der Beschwerdeführer nicht einen ausreichenden Abstand gegenüber einem anderen Fahrzeug vor einer Dorfeinfahrt und unterliess es mehrfach, seine Richtungsänderung mittels Zeichengebung anzuzeigen (MI-act. 49). Dieses schwerwiegende strafrechtliche Verhalten des Beschwerdeführers genügt, um ein hinreichend gewichtiges aktuelles Integrationsdefizit hinsichtlich der Beachtung der öffentlichen Sicherheit und Ordnung im Sinne von Art. 63 Abs. 2 i.V.m. Art. 58a Abs. 1 lit. a AIG und Art. 77a Abs. 1 lit. a VZAE zu begründen. Vorliegend ebenfalls zu be- rücksichtigen ist die mehrfache Straffälligkeit des Beschwerdeführers (MI- act. 29 f., 34 f., 44 ff.), namentlich im Bereich von Strassenverkehrsdelikten</w:t>
      </w:r>
    </w:p>
    <w:p>
      <w:r>
        <w:t>- 12 - (MI-act. 34 f., 44 ff.). Zwar handelt es sich nur um drei weitere Straferkennt- nisse, welche der Beschwerdeführer gegen sich erwirkte und für sich allein betrachtet nicht schwerwiegen; sie zeugen indessen von einem gewissen Unvermögen oder Unwillen des Beschwerdeführers, sich – insbesondere im Bereich des Strassenverkehrs – an behördliche Anordnungen zu halten. Nach dem Gesagten genügen die strafrechtlichen Verstösse des Be- schwerdeführers seit Inkrafttreten der gesetzlichen Rückstufungsregelung, um ein hinreichend gewichtiges aktuelles Integrationsdefizit hinsichtlich der Beachtung der öffentlichen Sicherheit und Ordnung im Sinne von Art. 63 Abs. 2 i.V.m. Art. 58a Abs. 1 lit. a AIG und Art. 77a Abs. 1 lit. a VZAE zu begründen. Mit seinem strafrechtlich relevanten Verhalten machte der Be- schwerdeführer deutlich, dass er nicht Willens und/oder in der Lage war, sich an die Rechtsordnung zu halten. Vor diesem Hintergrund erscheint fraglich, ob er sich, ohne die Anordnung einschneidender migrationsrecht- licher Massnahmen, in Zukunft an gesetzliche Vorschriften sowie behörd- liche Verfügungen halten wird. Damit steht fest, dass beim Beschwerdeführer aufgrund seiner schwerwie- genden Straffälligkeit im Strassenverkehr nach dem 1. Januar 2019 ein aktuelles und hinreichend gewichtiges Integrationsdefizit besteht. Der Rückstufungsgrund der Nichtbeachtung der öffentlichen Sicherheit und Ordnung im Sinne von Art. 63 Abs. 2 i.V.m. Art. 58a Abs. 1 lit. a AIG und Art. 77a Abs. 1 lit. a VZAE ist damit erfüllt. 4.4. Da aus den Akten nicht auf das Vorliegen weiterer Rückstufungsgründe geschlossen werden kann und die Vorinstanzen dem Beschwerdeführer sogar attestieren, dass er die anderen drei Integrationskriterien von Art. 58a Abs. 1 AIG erfüllt (act. 4, 7; MI-act. 109), steht fest, dass keine weiteren Rückstufungsgründe erfüllt sind. 4.5. Nachdem beim Beschwerdeführer ein Rückstufungsgrund gemäss Art. 63 Abs. 2 AIG vorliegt, erweist sich der Widerruf seiner Niederlassungsbewil- ligung unter ersatzweiser Erteilung einer Aufenthaltsbewilligung (Rückstu- fung) als begründet. 5. 5.1. Weiter ist zu prüfen, ob die gemäss Art. 63 Abs. 2 i.V.m. Art. 58a Abs. 1 lit. a AIG begründete Rückstufung angesichts der gesamten Umstände ver- hältnismässig erscheint (Art. 5 Abs. 2 der Bundesverfassung der Schwei- zerischen Eidgenossenschaft vom 18. April 1999 [BV; SR 101]), also ob es im vorliegenden Fall verhältnismässig ist, die Niederlassungsbewilligung</w:t>
      </w:r>
    </w:p>
    <w:p>
      <w:r>
        <w:t>- 13 -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5.2.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es denn auch in der Hand, das rückstufungsbegründete desintegrative Verhalten einzustellen – mithin in Zukunft keine Straftaten mehr zu begehen. 5.3. Nachdem der Beschwerdeführer mit Strafurteil des Regionalgerichts Berner Jura-Seeland vom 24. Februar 2022 verurteilt worden war, unterzog er sich freiwillig einer Verkehrstherapie zur Wiederherstellung der charak- terlichen Fahreignung. Diese beinhaltete insgesamt acht Sitzungen mit einer Dauer von je 50 bis 60 Minuten, welche im Zeitraum vom 16. August bis 11. Oktober 2022 stattgefunden haben (MI-act. 81). Aus dem verkehrs- psychologischen Gutachten vom 5. November 2022 geht hervor, dass sich der Beschwerdeführer während dieser verkehrspsychologischen Unter- suchung zu seinen Widerhandlungen im Strassenverkehr sowie zu weite- ren, für seine zukünftige Bewährung im Strassenverkehr relevanten Aspek- ten habe äussern müssen. Er habe sich zudem über seine kognitive, ver- kehrsbezogene Leistungskompetenz ausweisen und seine Einstellungen zu Fragen des Verhaltens im Strassenverkehr in Fragebogen darlegen können. Bei den Einstellungstests wiesen die Ergebnisse auf eine unauf- fällige Offenheit und auffällig erhöhte Orientierung an sozialer Erwünscht- heit hin. Zudem zeige die Selbsteinschätzung des Beschwerdeführers eine verminderte soziale Eigenständigkeit und Selbstbehauptung und ein leich- teres Nachgeben gegenüber sozialem Druck. Neu bestehe aber keine Nei- gung zu Gefühlsverdrängung und erhöhter Selbstsicherheit mehr. Der Be- schwerdeführer schätze sich als überdurchschnittlich zuverlässig, diszipli- niert und konsequent im Handeln ein. Seine Verhaltensänderung sei auf dem transtheoretischen Modell auf der Stufe fünf festzulegen. So habe er neue Verhaltensweisen seit einem längeren Zeitraum umgesetzt und</w:t>
      </w:r>
    </w:p>
    <w:p>
      <w:r>
        <w:t>- 14 - werde er das problematische Verhalten mit grosser Wahrscheinlichkeit nicht mehr zeigen. Er sei bemüht, das veränderte Verhalten zu sichern, um nicht wieder rückfällig zu werden (MI-act. 133). Zusammenfassend ist dem Gutachten weiter zu entnehmen, dass der Be- schwerdeführer eine kritische und sachliche Auseinandersetzung mit seinen Widerhandlungen gezeigt habe. Er habe die Sinnhaftigkeit von Ver- kehrsregeln verstanden und erkenne mögliche Gefahren seines Verhal- tens. Weiter sehe der Beschwerdeführer die Notwendigkeit zur Verände- rung vor allem bei sich selbst. So habe er den Zusammenhang zwischen seiner Auffälligkeit im Verkehr und den persönlichen Hintergründen erken- nen und benennen können. Schliesslich zeige der Beschwerdeführer eine verbesserte Anpassungsfähigkeit sowie eine ausreichende Verhaltenskon- trolle zur Regelbefolgung, da Einstellungsveränderungen und ein Kompe- tenzaufbau bereits zu veränderten Verhaltensweisen geführt hätten, die er insgesamt als zufriedenstellend erlebe. Aktuell bestünden keine Risikofak- toren, welche eine positive Beurteilung ausschliessen würden. Für die Zu- kunft sei vom Beschwerdeführer ein situations- und sicherheitsgerechtes Verhalten im Strassenverkehr zu erwarten und das Rückfallrisiko sei als gering einzuschätzen. Aufgrund der verkehrspsychologischen Begutach- tung sei der Beschwerdeführer zum aktuellen Zeitpunkt als geeignet zu er- achten, Motorfahrzeuge zu führen (MI-act. 134 f.). Nach dem Gesagten hat der Beschwerdeführer seit seiner Verurteilung vom 24. Februar 2022 bereits eine Anpassung seines desintegrativen Ver- haltens gezeigt, dies insbesondere noch vor Einleitung des vorliegenden ausländerrechtlichen Verfahrens, welches mit Schreiben des MIKA vom 28. Oktober 2022 betreffend Gewährung des rechtliche Gehörs betreffend Rückstufung seinen Anfang nahm (siehe vorne lit. A). Die Verhaltensan- passung ist damit nicht erst aufgrund des Drucks des vorliegenden Verfah- rens erfolgt. Auch hat sich der Beschwerdeführer seither wohlverhalten und ist insbesondere nicht erneut straffällig geworden. Hinzu kommt, dass der Beschwerdeführer die Tathandlungen als junger Erwachsener begangen hatte. Angehörige dieser Altersgruppe lassen sich in ihrer Entwicklung regelmässig noch wesentlich beeinflussen, was grundsätzlich für eine stär- kere Berücksichtigung ihres Wohlverhaltens seit der Tatbegehung spricht (vgl. Urteil des Bundesgerichts 2C_432/2016 vom 26. Januar 2018, Erw. 4.3.2). Vor diesem Hintergrund erscheint die vom Beschwerdeführer geltend gemachte, bereits gezeigte und somit auch vollzogene Verhaltens- änderung glaubhaft. Damit erweist sich die Rückstufung im Fall des Be- schwerdeführers aktuell als nicht erforderlich. 5.4. Die Rückstufung des Beschwerdeführers ist damit als unverhältnismässig zu qualifizieren.</w:t>
      </w:r>
    </w:p>
    <w:p>
      <w:r>
        <w:t>- 15 - 6. Ist eine Massnahme begründet, aber den Umständen nicht angemessen, kann die betroffene Person unter Androhung dieser Massnahme verwarnt werden (Art. 96 Abs. 2 AIG). Auch wenn mangels Notwendigkeit im heutigen Zeitpunkt von einer Rück- stufung abzusehen ist, bedeutet dies nicht, dass damit eine entsprechende Massnahme künftig nicht mehr zur Diskussion stehen könnte. Dem Be- schwerdeführer wird, unter Berücksichtigung der Umstände des Einzelfalls, insbesondere des im Zeitpunkt der Straftat jugendlichen Alters und der seit der Begehung der Straftaten verstrichenen Zeit, lediglich eine allerletzte Chance eingeräumt, sich weiterhin gänzlich an die Rechtsordnung zu halten und nicht erneut straffällig zu werden. Er wird ausdrücklich auf Art. 63 AIG aufmerksam gemacht, wonach eine erneute Nichtbeachtung der öffentlichen Ordnung und Sicherheit zu einer Rückstufung führen kann. Ein straffreies Verhalten wird vom Beschwerdeführer erwartet. Andernfalls müsste sich der Beschwerdeführer den Vorwurf gefallen lassen, das vorlie- gende Verfahren habe ihn unbeeindruckt gelassen. Die Verwarnung ist in Anwendung von § 49 VRPG direkt durch das Verwal- tungsgericht auszusprechen. 7. Nach dem Gesagten erweist sich die Rückstufung des Beschwerdeführers als unzulässig, weshalb die Beschwerde gutzuheissen und der Einsprache- entscheid vom 28. März 2023 aufzuheben ist. Der Beschwerdeführer wird im Sinne von Erw. II/6 verwarnt und von ihm wird erwartet, nicht erneut gegen die öffentliche Ordnung und Sicherheit zu verstossen, ansonsten er – grundsätzlich und in den Schranken der Ver- hältnismässigkeit – mit dem Widerruf seiner Niederlassungsbewilligung unter ersatzweiser Erteilung einer Aufenthaltsbewilligung zu rechnen hat. Bei diesem Ausgang des Verfahrens kann von der offerierten Parteibefra- gung bzw. der Anordnung einer mündlichen Verhandlung abgesehen wer- den. III. 1. Gemäss § 31 Abs. 2 VRPG werden die Verfahrenskosten in der Regel nach Massgabe des Unterliegens und Obsiegens auf die Parteien verlegt. Gleiches gilt gemäss § 32 Abs. 2 VRPG für die Parteikosten. 2. Bei diesem Verfahrensausgang obsiegt der Beschwerdeführer. Die Verfah- renskosten sind auf die Staatskasse zu nehmen (§ 31 Abs. 2 VRPG).</w:t>
      </w:r>
    </w:p>
    <w:p>
      <w:r>
        <w:t>- 16 - 3.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Nachdem neben der Beschwerde keine weitere Eingabe notwendig war und auch keine Verhandlung durchgeführt wurde, rechtfertigt es sich, die Entschädigung auf Fr. 2'500.00 (inkl. Auslagen und MwSt.) festzusetzen. Das MIKA ist dementsprechend anzuweisen, dem Beschwerdeführer die Parteikosten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