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WBE.2023.151 vom 16. August 2023</w:t>
      </w:r>
    </w:p>
    <w:p>
      <w:r>
        <w:t>AG Verwaltungsgericht, 2023-08-16, DE</w:t>
      </w:r>
    </w:p>
    <w:p>
      <w:r>
        <w:rPr>
          <w:b/>
        </w:rPr>
        <w:t xml:space="preserve">Quelle: </w:t>
      </w:r>
      <w:r>
        <w:t>https://mcp.opencaselaw.ch/entscheid/ag_verwaltungsgericht_WBE.2023.151</w:t>
      </w:r>
    </w:p>
    <w:p>
      <w:r>
        <w:t>FR: AG_VERWALTUNGSGERICHT WBE.2023.151 du 16 août 2023</w:t>
      </w:r>
    </w:p>
    <w:p>
      <w:r>
        <w:t>IT: AG_VERWALTUNGSGERICHT WBE.2023.151 del 16 agosto 2023</w:t>
      </w:r>
    </w:p>
    <w:p>
      <w:pPr>
        <w:pStyle w:val="Heading2"/>
      </w:pPr>
      <w:r>
        <w:t>Erwägungen</w:t>
      </w:r>
    </w:p>
    <w:p>
      <w:r>
        <w:rPr>
          <w:b/>
        </w:rPr>
        <w:t>E. 3</w:t>
      </w:r>
    </w:p>
    <w:p>
      <w:r>
        <w:t>Der Vater von A., B. sel., verstarb am 2. Juli 2015. Am 1. Juli 2018 schloss A. mit dem C. einen Arbeitsvertrag ab und konnte sich in der Folge von der Sozialhilfe ablösen. Während der Teilnahme am Beschäftigungsprogramm vom 1. Februar 2013 bis 30. Juni 2018 kamen seine Eltern für Wohnkosten und Prämien der Krankenkasse auf.</w:t>
      </w:r>
    </w:p>
    <w:p>
      <w:r>
        <w:rPr>
          <w:b/>
        </w:rPr>
        <w:t>E. 3.1</w:t>
      </w:r>
    </w:p>
    <w:p>
      <w:r>
        <w:t>Die Ausgestaltung der Rückerstattung liegt in der Kompetenz der Kantone (vgl. Art. 26 des Bundesgesetzes über die Zuständigkeit für die Unterstüt- zung Bedürftiger vom 24. Juni 1977 [Zuständigkeitsgesetz, ZUG; SR 851.1]; GUIDO WIZENT, Sozialhilferecht, Zürich/St. Gallen 2020, S. 293). Die Rückerstattungs- bzw. Rückzahlungspflicht von Leistungsbezügern kann sich aus drei verschiedenen Rechtsgründen ergeben (URS VOGEL, Rechtsbeziehungen – Rechte und Pflichten der unterstützten Person und der Organe der Sozialhilfe, in: CHRISTOPH HÄFELI [Hrsg.], Das Schweizeri- sche Sozialhilferecht, Luzern 2008, S. 194; WIZENT, a.a.O., S. 293).</w:t>
      </w:r>
    </w:p>
    <w:p>
      <w:r>
        <w:rPr>
          <w:b/>
        </w:rPr>
        <w:t>E. 3.2</w:t>
      </w:r>
    </w:p>
    <w:p>
      <w:r>
        <w:t>Erstens ist nach § 3 SPG rückzahlungspflichtig, wer unrechtmässig Leis- tungen bezog. § 3 SPG kommt zur Anwendung, wenn dem Leistungsbezü- ger ein gewisses Fehlverhalten, namentlich ein Verstoss gegen die Mitwir- kungs- und Meldepflicht gemäss § 2 SPG, vorgeworfen werden kann (AGVE 2011, S. 177). Zudem ist entscheidend, dass eine unterstützte Per- son objektiv zu viel Leistungen, also Leistungen ohne Rechtsgrundlage, er- halten hat (WIZENT, a.a.O., S. 300).</w:t>
      </w:r>
    </w:p>
    <w:p>
      <w:r>
        <w:rPr>
          <w:b/>
        </w:rPr>
        <w:t>E. 3.3</w:t>
      </w:r>
    </w:p>
    <w:p>
      <w:r>
        <w:t>Sodann können Sozialhilfebezüger - aus rechtmässigem Bezug von mate- rieller Hilfe - ordentlich rückerstattungspflichtig werden, wenn sich ihre wirt- schaftlichen Verhältnisse soweit gebessert haben, dass eine Rückerstat- tung ganz oder teilweise zugemutet werden kann (vgl. § 20 Abs. 1 SPG; VOGEL, a.a.O., S. 193). Gemäss § 21 SPG klärt die Gemeinde periodisch die Voraussetzungen der Rückerstattung ab und entscheidet über diese, sofern keine Vereinbarung zu Stande kommt. Die vorinstanzlichen Ent- scheide legen die Höhe des zurückzuerstattenden Betrags im Hinblick auf eine allfällige Rückerstattung bzw. ein späteres Rückerstattungsverfahren verbindlich fest (vgl. Entscheid des Verwaltungsgerichts WBE.2011.187 vom 9. Dezember 2011, Erw. II/2.3 f.).</w:t>
      </w:r>
    </w:p>
    <w:p>
      <w:r>
        <w:rPr>
          <w:b/>
        </w:rPr>
        <w:t>E. 3.4</w:t>
      </w:r>
    </w:p>
    <w:p>
      <w:r>
        <w:t>Schliesslich ist - ebenfalls aus rechtmässigem Bezug von Sozialhilfe - rück- zahlungspflichtig, wer materielle Hilfe als Vorschussleistungen im Sinne von § 12 SPG erhalten hat (vgl. VOGEL, a.a.O., S. 193 f.). Da die Sozialhilfe den notwendigen Lebensunterhalt rechtzeitig sicherzustellen hat, muss sie ihre Leistungen schneller als Sozialversicherungen, Privatversicherungen, haftpflichtige Dritte oder andere Dritte erbringen und geht diesen deshalb in der Regel zeitlich vor. Insofern hat der Sozialhilfebezüger, falls ihm rück- wirkend Ansprüche von vorrangigen Leistungsträgern gewährt werden, die bevorschusste materielle Hilfe (höchstens) im Umfang der Nachzahlung zurückzuzahlen. In diesem Sinne stellt § 12 SPG die rechtsgleiche Anwen- dung des Subsidiaritätsprinzips bei nachträglichen Leistungen sicher (vgl.</w:t>
      </w:r>
    </w:p>
    <w:p>
      <w:r>
        <w:t>- 8 - GUIDO WIZENT, Sozialhilferechtliche Rückerstattungen gegenüber der Kli- entel, in: Jusletter vom 19. März 2018, Rz. 21). 4.</w:t>
      </w:r>
    </w:p>
    <w:p>
      <w:r>
        <w:rPr>
          <w:b/>
        </w:rPr>
        <w:t>E. 4</w:t>
      </w:r>
    </w:p>
    <w:p>
      <w:r>
        <w:t>Die übrigen Beschwerdevoraussetzungen geben zu keinen Bemerkungen Anlass. Auf die rechtzeitig erhobene Beschwerde ist einzutreten.</w:t>
      </w:r>
    </w:p>
    <w:p>
      <w:r>
        <w:rPr>
          <w:b/>
        </w:rPr>
        <w:t>E. 4.1</w:t>
      </w:r>
    </w:p>
    <w:p>
      <w:r>
        <w:t>Nach § 41 Abs. 2 SPG sind die Kosten für die Teilnahme an Beschäfti- gungsprogrammen nicht (ordentlich) rückerstattungspflichtig (vgl. §§ 20 ff. SPG). Dies gilt für Programmkosten, Sozialversicherungsbeiträge und während der Programmdauer als Lohn ausgerichtete Sozialhilfe (vgl. AGVE 2018, S. 265 ff.). Nach der Auffassung der Beschwerdeführerin wurden die Kosten für das Beschäftigungsprogramm ab dem Tod des Vaters des Beschwerdegeg- ners bzw. ab dem Erbfall lediglich bevorschusst, weshalb § 41 Abs. 2 SPG nicht zur Anwendung gelange. Es ist vorab zu prüfen, ob diese Auffassung zutrifft; liegt keine Vorschussleistung vor, entfällt eine Rückzahlungspflicht von vornherein.</w:t>
      </w:r>
    </w:p>
    <w:p>
      <w:r>
        <w:rPr>
          <w:b/>
        </w:rPr>
        <w:t>E. 4.2</w:t>
      </w:r>
    </w:p>
    <w:p>
      <w:r>
        <w:t>Im Entscheid des Gemeinderats vom 28. Januar 2013, dessen Inhalt im Wesentlichen das Beschäftigungsprogramm war, wurde in Ziffer 13 die ordentliche Rückerstattungspflicht nach § 20 Abs. 1 SPG statuiert. Dies entsprach dem Grundsatz von Treu und Glauben (§ 4 VRPG und Art. 9 der Bundesverfassung der Schweizerischen Eidgenossenschaft [BV; SR.101]); danach ist die Unterstützung beziehende Person vorgängig auf eine Rück- erstattungs- bzw. Rückzahlungspflicht aufmerksam zu machen (vgl. VOGEL, a.a.O., S. 194). Der Beschwerdegegner durfte folglich davon aus- gehen, dass die Kosten für die Teilnahme am Beschäftigungsprogramm D. - werken und wohnen ordentlich respektive (nach Massgabe von § 41 Abs. 2 SPG) gar nicht rückerstattungspflichtig sind. Die Sozialen Dienste Q. hatten vom Tod von B. sel., dem Vater des Beschwerdegegners, spätestens am 13. August 2015 bzw. gut einen Monat nach dem Todesfall Kenntnis (vgl. Vorakten der Gemeinde, S. 52). Dennoch haben die Sozialen Dienste während der ganzen Dauer des Sozialhilfebezugs darauf verzichtet, die Unterstützungsleistungen neu als Vorschussleistungen zu deklarieren und entsprechend den Beschwerdegegner auf die geänderten Rückerstattungspflichten aufmerksam zu machen. Vielmehr haben jene die Grundlage der materiellen Hilfe und damit der Rückerstattungspflicht erst nach Einstellung der Sozialhilfe anders angegeben. Dies ist im Lichte von Art. 9 BV unzulässig. Für diese Beurteilung spricht auch der Wortlaut von § 12 Abs. 1 SPG, der darauf schliessen lässt, dass Vorschussleistungen - im Hinblick auf zu erwartende Leistungen Dritter - als solche zu deklarieren sind.</w:t>
      </w:r>
    </w:p>
    <w:p>
      <w:r>
        <w:t>- 9 -</w:t>
      </w:r>
    </w:p>
    <w:p>
      <w:r>
        <w:rPr>
          <w:b/>
        </w:rPr>
        <w:t>E. 4.3</w:t>
      </w:r>
    </w:p>
    <w:p>
      <w:r>
        <w:t>Somit ergibt sich, dass vorliegend eine Rückzahlungspflicht gestützt auf § 12 SPG ausser Betracht fällt. Die Beschwerde ist dementsprechend ab- zuweisen. Bei diesem Ausgang kann offenbleiben, inwiefern ein Vermö- genszuwachs infolge Erbschaft das Erfordernis der sachlichen und zeitli- chen Kongruenz nach § 12 SPG zu erfüllen vermag (vgl. Entscheid der Vorinstanz vom 27. März 2023, Erw. II/2.5.2; Verwaltungsgerichtsbe- schwerde, S. 2 f.). Ebenso ist nicht weiter zu prüfen, ob die Kosten für die Teilnahme an einem Beschäftigungsprogramm - wie dies vom Beschwer- degegner vorgebracht wird - auch von der Rückzahlungspflicht nach § 12 Abs. 1 SPG auszunehmen wären (vgl. Beschwerdeantwort vom 5. Juni 2023, S. 5 ff.).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In Abweichung von diesem Grundsatz werden dem beschwerdeführenden Gemeinwesen die Verfahrenskosten auferlegt, wenn es unterliegt (vgl. AGVE 2006, S. 285). Dementsprechend hat die Beschwerdeführerin die verwaltungsgerichtlichen Kosten zu tragen. Die Staatsgebühr wird unter Berücksichtigung des Zeitaufwands und der Bedeutung der Sache auf Fr. 1’500.00 festgelegt (vgl. § 3 Abs. 1 i.V.m. § 22 Abs. 1 lit. c des Dekrets über die Verfahrenskosten vom 24. November 1987 [Verfahrenskostendekret, VKD; SAR 221.150]). Für die Kanzleige- bühr und die Auslagen wird auf §§ 25 ff. VKD verwiesen. 2. Im Beschwerdeverfahren werden die Parteikosten in der Regel nach Mass- gabe des Unterliegens und Obsiegens auf die Parteien verlegt (§ 32 Abs. 2 VRPG). Diese Parteikostenverteilung gilt auch für Behörden (AGVE 2009, S. 278 f.). Der Beschwerdegegner obsiegt, weshalb ihm die Parteikosten zu ersetzen sind. Diese sind durch die Beschwerdeführerin zu tragen. Zur Festlegung der Parteientschädigung ist das Dekret über die Entschä- digung der Anwälte vom 10. November 1987 (Anwaltstarif, AnwT; SAR 291.150) massgebend (§ 1 Abs. 1 AnwT). Sozialhilfesachen sind grundsätzlich vermögensrechtliche Streitigkeiten mit einem Streitwert (vgl. AGVE 2007, S. 191 ff.). Dieser beträgt vorliegend Fr. 87’114.80. Für Streit- werte zwischen Fr. 50’000.00 und Fr. 100’000.00 ist eine Entschädigung im Rahmen von Fr. 3'000.00 bis Fr. 10’000.00 vorgesehen (vgl. § 8a Abs. 1</w:t>
      </w:r>
    </w:p>
    <w:p>
      <w:r>
        <w:t>- 10 - lit. a AnwT). Die Bedeutung des Falls ist eher überdurchschnittlich (Streit- wert nahe an der Grenze von Fr. 100’000.00); der massgebende Aufwand und die Schwierigkeit sind hingegen eher als niedrig zu beurteilen (die Be- schwerdeantwort vom 5. Juni 2023 entspricht inhaltlich weitgehend der Verwaltungsbeschwerde vom 25. März 2022) (vgl. § 8a Abs. 2 AnwT). Für das verwaltungsgerichtliche Verfahren rechtfertigt sich eine kostende- ckende Entschädigung von Fr. 4’500.00. Diese wird als Gesamtbetrag fest- gesetzt. Auslagen und Mehrwertsteuer sind darin enthalten (§ 8c AnwT). Das Verwaltungsgericht erkennt: 1. Die Beschwerde wird abgewiesen. 2. Die verwaltungsgerichtlichen Verfahrenskosten, bestehend aus einer Staatsgebühr von Fr. 1’500.00 sowie der Kanzleigebühr und den Auslagen von Fr. 185.00, gesamthaft Fr. 1'685.00, sind von der Beschwerdeführerin zu bezahlen. 3. Die Beschwerdeführerin wird verpflichtet, der Vertreterin des Beschwerde- gegners die vor Verwaltungsgericht entstandenen Parteikosten in Höhe von Fr. 4’500.00 zu ersetzen. Zustellung an: die Beschwerdeführerin (Gemeinderat) den Beschwerdegegner (Vertreterin) das Departement Gesundheit und Soziales (DGS), Kantonaler Sozialdienst,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rPr>
          <w:b/>
        </w:rPr>
        <w:t>E. 5</w:t>
      </w:r>
    </w:p>
    <w:p>
      <w:r>
        <w:t>Mit der Verwaltungsgerichtsbeschwerde können die unrichtige oder unvoll- ständige Feststellung des Sachverhalts sowie Rechtsverletzungen gerügt werden (§ 58 Abs. 4 SPG i.V.m. § 55 Abs. 1 VRPG). Ermessensüber- schreitung, Ermessensunterschreitung und Ermessensmissbrauch gelten als Rechtsverletzung (vgl. ULRICH HÄFELIN/GEORG MÜLLER/FELIX UHLMANN, Allgemeines Verwaltungsrecht, 8. Auflage, Zürich/St. Gallen 2020, Rz. 442). Die Rüge der Unangemessenheit ist demgegenüber ausge- schlossen (Umkehrschluss aus § 55 Abs. 3 VRPG). II. 1. Anspruch auf Sozialhilfe besteht, sofern die eigenen Mittel nicht genügen und andere Hilfeleistungen nicht rechtzeitig erhältlich sind oder nicht aus- reichen (§ 5 Abs. 1 SPG). Damit wird der Grundsatz der Subsidiarität der Sozialhilfe ausgedrückt. Es besteht kein Wahlrecht zwischen vorrangigen Hilfsquellen und der Sozialhilfe. Diese ist insbesondere gegenüber den Möglichkeiten der Selbsthilfe, Leistungen der Sozialversicherungen und freiwilligen Leistungen Dritter subsidiär (vgl. Richtlinien für die Ausge- staltung und Bemessung der Sozialhilfe der Schweizerischen Konferenz für Sozialhilfe vom April 2005 [SKOS-Richtlinien], Kapitel A.4; FELIX WOLFFERS, Grundriss des Sozialhilferechts, 2. Auflage, Bern 1999, S. 72). 2. Die Beschwerdeführerin beanstandet, dass materielle Hilfe - dem Wortlaut des Gesetzes und den Intentionen des Gesetzgebers entsprechend - als Vorschuss im Hinblick auf rückwirkend zu erbringende Leistungen Dritter gewährt werden kann. Im sozialrechtlichen Sinne stelle der Anteil an einer Erbschaft, ab Zeitpunkt der Eröffnung des Erbganges respektive des Todes des Erblassers, einen Vermögenswert dar, welcher in der Berechnung der materiellen Hilfe zu berücksichtigen sei. Eine tatsächliche Ablösung von der Sozialhilfe infolge Erbschaft sei allerdings erst möglich, wenn das Geld</w:t>
      </w:r>
    </w:p>
    <w:p>
      <w:r>
        <w:t>- 6 - nach erfolgter Erbteilung effektiv zur Verfügung stehe. Insofern handle es sich bei einer «ungeteilten Erbschaft» um einen kurzfristig nicht realisier- baren Vermögenswert, welcher einen Anspruch auf bevorschussende So- zialhilfe rechtfertigen könne. In Anbetracht dessen und angesichts der Grösse des Nachlasses hätten die Unterstützungsleistungen zwischen Juli 2015 und Juli 2018 Vorschusscharakter gehabt und seien im Sinne von § 12 SPG rückzahlungspflichtig. Die Vorinstanz erwog, dass Vorschussleistungen der Überbrückung von Notlagen dienten, bis die Sozial- oder Privatversicherung oder etwaige an- dere Dritte ihre Leistungen erbringen. Dabei gelte der Grundsatz, dass die unterstützte Person im Zeitpunkt der Leistungserbringung die bezogene materielle Hilfe höchstens im Umfang der Nachzahlung zurück zu erstatten habe. Die Rückzahlungspflicht setze voraus, dass die Nachzahlung mate- riell den Unterstützungsleistungen entspreche und den gleichen Zeitraum abdecke. Vorliegend fehle es an der zeitlichen Übereinstimmung zwischen Unterstützungsleistung und Erbschaft, da diese per se nicht für einen defi- nierten Zeitraum ausgerichtet werde. Demgemäss finde § 12 SPG keine Anwendung auf den vorliegenden Sachverhalt und damit werde Ziffer 3 des Gemeinderatsentscheids die Rechtsgrundlage entzogen. Der Beschwerdegegner führt in seiner Beschwerdeantwort aus, strittig sei, ob § 12 SPG auf den vorliegenden Sachverhalt anwendbar sei respektive ob Zahlungen zu Gunsten des Beschwerdegegners tatsächlich bevor- schussend ausgerichtet wurden. Es sei treuwidrig und in verfahrensrechtli- cher Hinsicht mangelhaft, wenn die Beschwerdeführerin, ohne den Sach- verhalt je abgeklärt, den Beschwerdegegner informiert oder eine Verfügung erlassen zu haben, unversehens Leistungen als Vorschuss zurückfordere. Ohnehin sei § 12 SPG auf den vorliegenden Sachverhalt nicht anwendbar, damit fehle es der Rückerstattungsforderung an einer rechtlichen Grund- lage. Aus der Systematik das SPG gehe nämlich hervor, dass die Kosten der Teilnahme an Beschäftigungsprogrammen als Massnahme der sozia- len Prävention nicht unter § 12 SPG fallen. Dies zeige sich auch im Wort- laut von § 12 Abs. 1 SPG, welcher ausdrücklich und ausschliesslich die materielle Hilfe regle. § 41 Abs. 2 halte explizit fest, die Kosten von Be- schäftigungsprogrammen seien nicht rückerstattungspflichtig. Schliesslich widerspreche es auch dem Sinn und Zweck sowie der Entstehungsge- schichte von § 12 Abs. 1 SPG, wenn der Lohn, für welchen eine Gegen- leistung in Form von Arbeit erbracht werde, und die Programmkosten, wel- che nicht der Existenzsicherung dienen, rückzahlungspflichtig wären. Da § 12 Abs. 1 SPG nicht auf die Kosten von Beschäftigungsprogrammen an- wendbar sei, erübrigten sich weitere Ausführungen zur zeitlichen und sach- lichen Kongruenz. Die Beschwerde erweise sich demzufolge als unbegrün- det und sei abzuweisen.</w:t>
      </w:r>
    </w:p>
    <w:p>
      <w:r>
        <w:t>- 7 - 3.</w:t>
      </w:r>
    </w:p>
    <w:p>
      <w:r>
        <w:rPr>
          <w:b/>
        </w:rPr>
        <w:t>E. 7</w:t>
      </w:r>
    </w:p>
    <w:p>
      <w:r>
        <w:t>Tag vor bis und mit 7. Tag nach Ostern, vom 15. Juli bis und mit 15. Au- gust und vom 18. Dezember bis und mit 2. Januar. Die unterzeichnete Be- schwerde muss das Begehren, wie der Entscheid zu ändern sei, sowie in gedrängter Form die Begründung, inwiefern der angefochtene Akt Recht</w:t>
      </w:r>
    </w:p>
    <w:p>
      <w:r>
        <w:t>- 11 - verletzt, mit Angabe der Beweismittel enthalten. Der angefochtene Ent- scheid und als Beweismittel angerufene Urkunden sind beizulegen (Art. 82 ff. des Bundesgesetzes über das Bundesgericht [Bundesgerichts- gesetz, BGG; SR 173.110] vom 17. Juni 2005). Aarau, 16. August 2023 Verwaltungsgericht des Kantons Aargau 3. Kammer Vorsitz: Gerichtsschreiber i.V.: Michel Brunschwiler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