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 vom 21. Februar 2023</w:t>
      </w:r>
    </w:p>
    <w:p>
      <w:r>
        <w:t>AG Verwaltungsgericht, 2023-02-21, DE</w:t>
      </w:r>
    </w:p>
    <w:p>
      <w:r>
        <w:rPr>
          <w:b/>
        </w:rPr>
        <w:t xml:space="preserve">Quelle: </w:t>
      </w:r>
      <w:r>
        <w:t>https://mcp.opencaselaw.ch/entscheid/ag_verwaltungsgericht_WBE.2023.11</w:t>
      </w:r>
    </w:p>
    <w:p>
      <w:r>
        <w:t>FR: AG_VERWALTUNGSGERICHT WBE.2023.11 du 21 février 2023</w:t>
      </w:r>
    </w:p>
    <w:p>
      <w:r>
        <w:t>IT: AG_VERWALTUNGSGERICHT WBE.2023.11 del 21 febbraio 2023</w:t>
      </w:r>
    </w:p>
    <w:p>
      <w:pPr>
        <w:pStyle w:val="Heading2"/>
      </w:pPr>
      <w:r>
        <w:t>Erwägungen</w:t>
      </w:r>
    </w:p>
    <w:p>
      <w:r>
        <w:rPr>
          <w:b/>
        </w:rPr>
        <w:t>E. 3</w:t>
      </w:r>
    </w:p>
    <w:p>
      <w:r>
        <w:t>Am 28. November 2022 beschloss der Gemeinderat C.: 1. Zur Erfüllung der Beseitigung von Bauten, Anlagen und Fahrzeugen in den rechtmässigen Zustand wird eine letzte Nachfrist von 60 Tagen nach Rechtskraft dieses Entscheids gewährt. 2. Kommen die Eigentümer dieser Beseitigung nicht fristgerecht nach, wird gestützt auf § 159 BauG und §§ 80 und 81 VRPG ausdrücklich die Ersatzvornahme auf Kosten Eigentümer angedroht. Nach unbenutztem Ablauf der Nachfrist gemäss Ziffer 1 hat der Eigentümer die Kosten der Ersatzvornahme von schätzungsweise CHF 8'300 innert spätestens</w:t>
      </w:r>
    </w:p>
    <w:p>
      <w:r>
        <w:rPr>
          <w:b/>
        </w:rPr>
        <w:t>E. 5</w:t>
      </w:r>
    </w:p>
    <w:p>
      <w:r>
        <w:t>Der instruierende Verwaltungsrichter forderte die Beschwerdeführenden mit Verfügung vom 17. Januar 2023 auf, innert 10 Tagen einen Vorschuss für die Verfahrenskosten von Fr. 800.00 zu bezahlen. Mit Verfügung vom 1. Februar 2023 setzte er ihnen eine letzte, nicht erstreckbare Frist von</w:t>
      </w:r>
    </w:p>
    <w:p>
      <w:r>
        <w:rPr>
          <w:b/>
        </w:rPr>
        <w:t>E. 10</w:t>
      </w:r>
    </w:p>
    <w:p>
      <w:r>
        <w:t>Obwohl auf die Beschwerde nicht eingetreten werden darf, rechtfertigen sich im Hinblick auf das weitere Vollstreckungsverfahren folgende Hin- weise:  Vollstreckungsentscheide sind – entgegen der Rechtsmittelbeleh- rung im angefochtenen Entscheid – gemäss § 83 Abs. 1 VRPG in- nert 10 Tagen (und nicht innert 30 Tagen) beim Verwaltungsgericht anfechtbar.  Die Wiederherstellung des rechtmässigen Zustands setzt bei Bau- ten und Anlagen voraus, dass in einem nachträglichen Baubewilli- gungsverfahren, das gegebenenfalls vom Amtes wegen eingeleitet wird, eine entsprechende Anordnung ergeht (vgl. § 159 Abs. 1 des Gesetzes über Raumentwicklung und Bauwesen vom 19. Januar 1993 [Baugesetz, BauG; SAR 713.100]; Aargauische Gerichts- und Verwaltungsentscheide [AGVE] 2011, S. 263). Der betreffende Sachentscheid ist unter den Voraussetzungen von § 76 Abs. 1 VRPG vollstreckbar. Ob dem angefochtenen Entscheid tatsächlich</w:t>
      </w:r>
    </w:p>
    <w:p>
      <w:r>
        <w:t>- 4 - ein Sachentscheid zugrunde liegt, lässt sich den vorhandenen Ak- ten nicht abschliessend entnehmen; aufgrund des Nichteintretens kann die Frage jedoch vorliegend offengelassen werden.  § 43 Abs. 1 BauG verbietet, ausgediente Fahrzeuge und Anhänger länger als drei Monate im Freien abzulagern oder stehen zu lassen. Das entsprechende Verbot ergibt sich unmittelbar aus dem Gesetz und die betreffende Verpflichtung ist nach der verwaltungsgerichtli- chen Rechtsprechung direkt (d.h. ohne dass zuvor ein Sachent- scheid ergeht) vollstreckbar (vgl. Entscheid des Verwaltungsge- richts WBE.2022.171 vom 20. Juli 2022, Erw. II/1).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