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WBE.2023.108 vom 16. Juni 2023</w:t>
      </w:r>
    </w:p>
    <w:p>
      <w:r>
        <w:t>AG Verwaltungsgericht, 2023-06-16, DE</w:t>
      </w:r>
    </w:p>
    <w:p>
      <w:r>
        <w:rPr>
          <w:b/>
        </w:rPr>
        <w:t xml:space="preserve">Quelle: </w:t>
      </w:r>
      <w:r>
        <w:t>https://mcp.opencaselaw.ch/entscheid/ag_verwaltungsgericht_WBE.2023.108</w:t>
      </w:r>
    </w:p>
    <w:p>
      <w:r>
        <w:t>FR: AG_VERWALTUNGSGERICHT WBE.2023.108 du 16 juin 2023</w:t>
      </w:r>
    </w:p>
    <w:p>
      <w:r>
        <w:t>IT: AG_VERWALTUNGSGERICHT WBE.2023.108 del 16 giugno 2023</w:t>
      </w:r>
    </w:p>
    <w:p>
      <w:pPr>
        <w:pStyle w:val="Heading2"/>
      </w:pPr>
      <w:r>
        <w:t>Erwägungen</w:t>
      </w:r>
    </w:p>
    <w:p>
      <w:r>
        <w:rPr>
          <w:b/>
        </w:rPr>
        <w:t>E. 3</w:t>
      </w:r>
    </w:p>
    <w:p>
      <w:r>
        <w:t>Der Gemeinderat Q. beantragte in seiner Beschwerdeantwort vom 24. April 2023 ebenfalls, die Beschwerde sei abzuweisen, unter den gesetzlichen Kosten- und Entschädigungsfolgen.</w:t>
      </w:r>
    </w:p>
    <w:p>
      <w:r>
        <w:rPr>
          <w:b/>
        </w:rPr>
        <w:t>E. 4</w:t>
      </w:r>
    </w:p>
    <w:p>
      <w:r>
        <w:t>Demgemäss ist die Beschwerde abzuweisen. III. Bei diesem Ausgang des Verfahrens wird die Beschwerdeführerin kosten- pflichtig (§ 31 Abs. 2 VRPG). Zudem hat sie dem anwaltlich vertretenen Gemeinderat, dem Parteistellung zukommt (§ 13 Abs. 2 lit. f VRPG), die Parteikosten zu ersetzen (§ 32 Abs. 2 i.V.m. § 29 VRPG). Zur Festlegung der Höhe der Parteientschädigung ist das Dekret über die Entschädigung der Anwälte vom 10. November 1987 (Anwaltstarif; SAR 291.150 [nachfolgend: AnwT]) massgebend (§ 1 Abs. 1 AnwT). Die Entschädigung in Verwaltungssachen bestimmt sich nach den §§ 8a ff. AnwT. Vorliegend ging es um die Frage, ob zu Recht ein nachträgliches Baubewilligungsverfahren durchgeführt wurde. Ein Streitwert lässt sich nicht ermitteln (siehe auch Entscheid des Verwaltungsgerichts WBE.2021.237 vom 28. März 2022, Erw. III/2.2). In Verfahren, die das Ver- mögen der Parteien weder direkt noch indirekt beeinflussen und wo das Bundesrecht die Berücksichtigung des Streitwerts untersagt, gelten ge- mäss § 8a Abs. 3 AnwT die § 3 Abs. 1 lit. b und §§ 6 ff. AnwT sinngemäss. Gemäss § 3 Abs. 1 lit. b AnwT beträgt die Grundentschädigung Fr. 1'210.00 bis Fr. 14'740.00, wobei sie nach dem mutmasslichen Auf- wand des Anwaltes, nach der Bedeutung und der Schwierigkeit des Falles festzulegen ist. Angesichts der geringen Bedeutung, der unterdurchschnitt- lichen Schwierigkeit und des eher geringen Aufwands – namentlich hatte der Anwalt auch aufgrund des Parallelverfahrens WBE.2023.107, in wel- chem er ebenfalls den Gemeinderat vertritt, Erleichterungen – erscheint</w:t>
      </w:r>
    </w:p>
    <w:p>
      <w:r>
        <w:t>- 7 - eine Grundentschädigung von Fr. 1'800.00 sachgerecht. Für die nicht durchgeführte Verhandlung ist ein Abzug von 20 % vorzunehmen (§ 6 Abs. 2 AnwT), was ein Zwischenresultat von Fr. 1'440.00 ergibt. Zu berück- sichtigen ist sodann ein Abzug für das Rechtsmittelverfahren von 25 %, da der Rechtsvertreter den Gemeinderat bereit vor Vorinstanz vertrat und sich dort im Wesentlichen dieselben Fragen stellten (§ 8 AnwT). Dies ergibt ei- nen Betrag von Fr. 1'080.00. Unter Berücksichtigung von Auslagen sowie der Mehrwertsteuer ist die Parteientschädigung auf Fr. 1'250.00 festzule- gen.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