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WBE.2022.405 vom 24. April 2023</w:t>
      </w:r>
    </w:p>
    <w:p>
      <w:r>
        <w:t>AG Verwaltungsgericht, 2023-04-24, DE</w:t>
      </w:r>
    </w:p>
    <w:p>
      <w:r>
        <w:rPr>
          <w:b/>
        </w:rPr>
        <w:t xml:space="preserve">Quelle: </w:t>
      </w:r>
      <w:r>
        <w:t>https://mcp.opencaselaw.ch/entscheid/ag_verwaltungsgericht_WBE.2022.405</w:t>
      </w:r>
    </w:p>
    <w:p>
      <w:r>
        <w:t>FR: AG_VERWALTUNGSGERICHT WBE.2022.405 du 24 avril 2023</w:t>
      </w:r>
    </w:p>
    <w:p>
      <w:r>
        <w:t>IT: AG_VERWALTUNGSGERICHT WBE.2022.405 del 24 aprile 2023</w:t>
      </w:r>
    </w:p>
    <w:p>
      <w:pPr>
        <w:pStyle w:val="Heading2"/>
      </w:pPr>
      <w:r>
        <w:t>Erwägungen</w:t>
      </w:r>
    </w:p>
    <w:p>
      <w:r>
        <w:rPr>
          <w:b/>
        </w:rPr>
        <w:t>E. 3</w:t>
      </w:r>
    </w:p>
    <w:p>
      <w:r>
        <w:t>Die weiteren Prozessvoraussetzungen geben zu keinen Bemerkungen An- lass. Auf die fristgerecht eingereichte Beschwerde ist einzutreten.</w:t>
      </w:r>
    </w:p>
    <w:p>
      <w:r>
        <w:rPr>
          <w:b/>
        </w:rPr>
        <w:t>E. 4</w:t>
      </w:r>
    </w:p>
    <w:p>
      <w:r>
        <w:t>März 2020 entstandenen Kosten in Höhe von Fr. 2'100.00 (zzgl. MWSt) stellte die Tankrevisionsfirma zunächst ebenfalls dem BVU in Rechnung (siehe Vorakten, act. 58), dieses intervenierte jedoch. Die Begleichung die- ser zusätzlichen Kosten, welche auf eine defekte Tankfolie zurückzuführen waren, musste zwischen der Tankfirma und der Liegenschaftseigentümerin geregelt werden (vgl. Vorakten, act. 75, ferner act. 4). 2.3.2. Soweit die Beschwerdeführerin die Arbeiten der Tankrevisionsfirma vom 29. Februar 2020 in Frage stellt, trifft zwar zu, dass sich aus den Akten nicht ergibt, von wann bis wann (Tageszeit) die Tankrevisionsfirma am 29. Feb- ruar 2020 in Einsatz war. Dies erscheint jedoch auch nicht entscheidend, zumal der Vertreter der Beschwerdeführerin am 29. Februar 2020 – selbst nach eigenen Angaben – nicht den ganzen Tag vor Ort war und sich aus dem Rapport und der Rechnung ergibt, dass für die Grobreinigung des Tanks und des Tankraums (inkl. Absaugen des in den Tankraum ausge- laufenen Heizöls) zwei Mitarbeiter mit Servicewagen und Ausrüstung wäh- rend 5.5 Stunden im Einsatz waren. Die kantonale Fachstelle (BVU, Abtei- lung für Umwelt) hat den Rapport und die Rechnung der Tankrevisionsfirma kontrolliert (und bezüglich der ersten Rechnung interveniert, da der Einsatz</w:t>
      </w:r>
    </w:p>
    <w:p>
      <w:r>
        <w:t>- 10 - vom 4. März 2020 der Liegenschaftseigentümerin zu verrechnen war). Den in Rechnung gestellten Betrag für den Arbeitsaufwand der Grobreinigung und des Absaugens von ca. 300 l Heizöl aus dem Tankraum am 29. Feb- ruar 2020 erachtet sie als gerechtfertigt. 5.5 Arbeitsstunden seien ange- sichts des vorliegenden Sachverhalts ohne weiteres plausibel (Beschwer- deantwort BVU, S. 2). Dieser Ansicht kann sich das Verwaltungsgericht an- schliessen. Dass das in den Tankraum ausgelaufene Heizöl (ca. 300 l) ab- gepumpt und der Tankraum sowie der Tank von einer Fachfirma zunächst grob gereinigt werden mussten, ergibt sich von selbst. Von offensichtlich unnötigen, leichtfertig gemachten Aufwendungen der Tankrevisionsfirma lässt sich nicht sprechen. Die Beschwerdeführerin bringt solches auch nicht vor, ebenso wenig untermauert sie, dass die Arbeiten überhaupt nicht ge- leistet worden wären. Die kantonale Fachstelle weist zudem korrekt darauf hin, dass eine Tankrevisionsfirma durchaus in der Lage ist, Abfälle und Heizöl, welche bei ihren Arbeiten anfallen, fachgerecht zu transportieren und zu entsorgen. Der Aufwand der Tankreinigungsfirma für die Grobreini- gung von 5.5 Stunden (zwei Mitarbeiter) erscheint mit der kantonalen Fach- stelle durchwegs plausibel und der in Rechnung gestellte Betrag von Fr. 1'320.00 – in welchem neben dem Arbeitsaufwand auch der Einsatz ei- nes Servicewagens und Ausrüstung mitenthalten ist – gerechtfertigt. Für die Entsorgung des Heizöls wurden im Übrigen keine zusätzlichen Kosten verrechnet, weshalb fehlende Belege bzw. Lieferscheine insoweit nicht von Relevanz sind. Für das Verwaltungsgericht besteht daher kein Anlass, kor- rigierend einzugreifen. Die Rechnung, welche an den Liegenschaftseigentümer versandt wurde, nachdem die dem BVU zunächst in Rechnung gestellten Fr. 4'383.40 auf Fr. 2'121.70 korrigiert wurden, bildet im Übrigen nicht Gegenstand des vor- liegenden Verfahrens. Zu den Ausführungen der Beschwerdeführerin be- züglich der ersten Rechnung der Tankrevisionsfirma in der Höhe von Fr. 4'383.40 (siehe Vorakten, act. 58), kann auf lit. F der Kostenverfügung des BVU, Abteilung für Umwelt, vom 11. Oktober 2021 (Vorakten, act. 75) sowie die obigen Ausführungen in Erw. II/2.3.1 (am Ende) verwiesen wer- den. 3. Zusammenfassend erweist sich die Beschwerde als unbegründet, weshalb sie abzuweisen ist. III. Bei diesem Ausgang des Verfahrens wird die Beschwerdeführerin kosten- pflichtig (§ 31 Abs. 2 VRPG). Parteikosten sind keine zu ersetzen (§ 32 Abs. 2 i.V.m. § 29 VRPG).</w:t>
      </w:r>
    </w:p>
    <w:p>
      <w:r>
        <w:t>- 11 -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