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WBE.2022.391 vom 6. Juli 2023</w:t>
      </w:r>
    </w:p>
    <w:p>
      <w:r>
        <w:t>AG Verwaltungsgericht, 2023-07-06, DE</w:t>
      </w:r>
    </w:p>
    <w:p>
      <w:r>
        <w:rPr>
          <w:b/>
        </w:rPr>
        <w:t xml:space="preserve">Quelle: </w:t>
      </w:r>
      <w:r>
        <w:t>https://mcp.opencaselaw.ch/entscheid/ag_verwaltungsgericht_WBE.2022.391</w:t>
      </w:r>
    </w:p>
    <w:p>
      <w:r>
        <w:t>FR: AG_VERWALTUNGSGERICHT WBE.2022.391 du 6 juillet 2023</w:t>
      </w:r>
    </w:p>
    <w:p>
      <w:r>
        <w:t>IT: AG_VERWALTUNGSGERICHT WBE.2022.391 del 6 luglio 2023</w:t>
      </w:r>
    </w:p>
    <w:p>
      <w:pPr>
        <w:pStyle w:val="Heading2"/>
      </w:pPr>
      <w:r>
        <w:t>Erwägungen</w:t>
      </w:r>
    </w:p>
    <w:p>
      <w:r>
        <w:rPr>
          <w:b/>
        </w:rPr>
        <w:t>E. 3</w:t>
      </w:r>
    </w:p>
    <w:p>
      <w:r>
        <w:t>Die Beschwerdeführer bestreiten die Zonenkonformität des Bauvorhabens. Auch wenn sich die Antenne in der Zone für öffentliche Bauten und Anlagen befinde, stehe diese Zone direkt inmitten einer Wohnzone und dem Fried- hof. Diese Zone sei nicht der richtige Ort, um eine freistehende Mobilfunk- anlage zu installieren (Beschwerde, S. 2). Die Bauparzelle befindet sich gemäss Bauzonenplan der Gemeinde Q. vom ______ in der Zone für öffentliche Bauten und Anlagen (OeBA). Die Zone OeBA ist für Bauten und Anlagen bestimmt, die dem öffentlichen In- teresse dienen (§ 17 Abs. 1 der Bau- und Nutzungsordnung der Gemeinde Q. vom ______ [BNO]). Die Errichtung von Mobilfunkanlagen entspricht dem öffentlichen Interes- se an einer qualitativ guten Mobilfunkversorgung und an einem funktionie- renden Wettbewerb zwischen den Mobilfunkanbietern (vgl. Art. 1 des Fern- meldegesetzes vom 30. April 1997 [FMG; SR 784.10]). Zudem sind Mobil- funkantennen gemäss bundesgerichtlicher Rechtsprechung in Bauzonen grundsätzlich zonenkonform, soweit sie im Wesentlichen der Abdeckung derselben dienen. Nicht erforderlich ist, dass die Mobilfunkantenne einzig dem Bauzonenteil dient, in welchem sie errichtet werden soll</w:t>
      </w:r>
    </w:p>
    <w:p>
      <w:r>
        <w:t>- 6 - (BGE 133 II 321, Erw. 4.3.2). Die angefochtene Mobilfunkanlage befindet sich in der Zone OeBA und dient deren Versorgung und des umliegenden Siedlungsgebiets. Die Mobilfunkanlage erweist sich somit als zonenkon- form.</w:t>
      </w:r>
    </w:p>
    <w:p>
      <w:r>
        <w:rPr>
          <w:b/>
        </w:rPr>
        <w:t>E. 4</w:t>
      </w:r>
    </w:p>
    <w:p>
      <w:r>
        <w:t>Die Beschwerdeführer sind der Auffassung, dass den elektrosensiblen Menschen durch die strahlende Mobilfunkantenne am Friedhofeingang der Zugang verwehrt oder enorm erschwert werde, was diskriminierend und unzulässig sei (Beschwerde, S. 3 f.). Anlagen, welche nichtionisierende Strahlung emittieren, müssen so erstellt und betrieben werden, dass sie die in Anhang 1 der festgelegten vorsorgli- chen Emissionsbegrenzungen einhalten (Art. 4 Abs. 1 NISV). Jede Mobil- funkanlage muss für sich im massgebenden Betriebszustand an allen Or- ten mit empfindlicher Nutzung (OMEN; Art. 3 Abs. 3 NISV) den massge- benden Anlagegrenzwert (AGW) von Anhang 1 Ziffer 64 NISV einhalten (Anhang 1 Ziffer 65 NISV). Zudem müssen überall, wo sich Menschen auf- halten können (sog. Orte für kurzfristigen Aufenthalt [OKA]) die festgeleg- ten Immissionsgrenzwert (IGW) eingehalten werden (Art. 13 Abs. 1 NISV und Anhang 2 NISV). Unbestritten ist, dass die projektierte Mobilfunkanlage (mit den im Standort- datenblatt angegebenen Sendeleistungen und Neigungswinkel) die Grenz- werte der NISV einhält. Hinzuweisen ist, dass der für eine Anlage geltende Anlagegrenzwert zur Wahrung des Vorsorgeprinzips vom Bundesrat wesentlich niedriger festge- legt wurde als die dem Gesundheitsschutz dienenden Immissionsgrenz- werte. Damit ist der Gesundheitsschutz insgesamt gewahrt. Dies gilt auch für Personen, die sich als elektromagnetisch hypersensibel wahrnehmen, da es gegenwärtig keinen wissenschaftlichen Beleg dafür gibt, dass solche Personen empfindlicher auf elektromagnetische Felder reagieren als die restliche Bevölkerung und daher bei der Festlegung der Immissionsgrenz- werte nach der Rechtsprechung des Bundesgerichts kein besonderer Schutz für "elektrosensible" Personen vorzusehen ist (Urteil des Bundes- gerichts vom 6. Oktober 2020 [1C_627/2019], Erw. 4.3 mit Hinweisen). Der Einwand der Beschwerdeführer ist somit unbegründet. Gleiches gilt für den Vorwurf, wonach die angefochtene Baubewilligung § 11 und § 13 des Be- stattungs- und Friedhofreglement der Gemeinde Q. vom ______ verletzen soll. Es ist nicht ersichtlich und wird auch nicht näher begründet, inwiefern diese Bestimmungen dem vorliegenden Bauvorhaben entgegenstehen sollten.</w:t>
      </w:r>
    </w:p>
    <w:p>
      <w:r>
        <w:t>- 7 -</w:t>
      </w:r>
    </w:p>
    <w:p>
      <w:r>
        <w:rPr>
          <w:b/>
        </w:rPr>
        <w:t>E. 5</w:t>
      </w:r>
    </w:p>
    <w:p>
      <w:r>
        <w:t>Die Beschwerdeführer sind der Auffassung, dass die geplante Mobilfunk- anlage das Ortsbild wesentlich beeinträchtige und daher unzulässig sei (Beschwerde, S. 4 ff.). Nach § 42 Abs. 1 und 2 des Gesetzes über Raumentwicklung und Bauwe- sen vom 19. Januar 1993 (Baugesetz, BauG; SAR 713.100) müssen sich Gebäude hinsichtlich Grösse, Gestaltung und Oberfläche des Baukörpers sowie dessen Aussenraums so in die Umgebung einordnen, dass eine gute Gesamtwirkung entsteht; Bauten, Anschriften, Bemalungen, Antennen und Reklamen dürfen insbesondere Landschaften sowie Orts-, Quartier- und Strassenbilder nicht beeinträchtigen. Der Gemeinderat stellte im Baubewilligungsentscheid keine Verletzung des Beeinträchtigungsverbots fest. Das Bauvorhaben liege in der Zone für öf- fentliche Bauten und Anlagen. Bezüglich Einordnung und Gestaltung gäl- ten keine erhöhten Anforderungen. Der Mast sei mit einer Höhe von 25 m für die Nachbarschaft sowie von der öffentlichen Friedhofanlage her zwar teilweise sichtbar. Der Mast liege aber eingebettet in der Mitte eines Gebie- tes mit starkem Baumbewuchs und überrage die vorhandenen Baumreihen nur um einige Meter, Die sichtbare Höhe der Anlage werde dadurch redu- ziert und gebrochen. Die Antenne ordne sich damit insgesamt genügend ein (Baubewilligung vom 3. Februar 2022, S. 3 [Vorakten, act. 378]). Der Regierungsrat würdigte die Erwägungen des Gemeinderats, wobei er auf die nachvollziehbare Darstellung im Baubewilligungsentscheid sowie die von den Beschwerdeführern eingereichten Fotomontagen abstellte. Er kam zum Schluss, dass der Gemeinderat eine Beeinträchtigung des Orts- bildes nachvollziehbar verneint habe und die Einwände der Beschwerde- führer die Beurteilung nicht in Frage zu stellen vermöchten. Die vom Ge- meinderat vorgenommene Beurteilung habe sich nicht von sachfremden Argumenten leiten lassen (vgl. vorinstanzlicher Entscheid, S. 4 f.). Mit der Verwaltungsgerichtsbeschwerde halten die Beschwerdeführer am Einwand der fehlenden Einordnung fest. Die geplante Anlage passe grund- sätzlich nicht auf den Friedhof mit seinem alten Baumbestand und hohem Wiesenanteil. Die Beschwerdeführer bestreiten die kaschierende Wirkung der Bäume, da die Anlage die Bäume überrage. Zudem rage die Sendean- lage aus mehreren Perspektiven direkt in das dörfliche und in diesem Be- reich besonders schützenswerte Ortsbild hinein (Beschwerde, S. 4 ff.). Das Verwaltungsgericht sieht insbesondere auch im Hinblick auf die dem Gemeinderat zukommende Ermessensspielraum bei der Anwendung von Ästhetikvorschriften (§ 106 Abs. 1 der Verfassung des Kantons Aargau vom 25. Juni 1980 [KV; SAR 110.000]) keinen Grund, von der schlüssigen Begründung der Vorinstanzen abzuweichen. Die Mobilfunkanlage soll in</w:t>
      </w:r>
    </w:p>
    <w:p>
      <w:r>
        <w:t>- 8 - der Mitte eines Gebietes mit einem grossen Baumbestand realisiert wer- den. Eine Kaschierung durch die Bäume kann nicht bestritten werden, auch wenn diese teilweise von der Antenne überragt werden. Die von den Be- schwerdeführern eingereichten Bilder beweisen nichts Anderes, sondern belegen die Darstellung des Gemeinderats. Eine Verletzung des Beein- trächtigungsverbots ist nicht ersichtlich. Die Beschwerdeführer weisen in diesem Zusammenhang auf die ideellen Immissionen von Mobilfunkanlagen hin und äussern ethische Bedenken. Ideelle Immissionen können gemäss bundesgerichtlicher Rechtsprechung kommunale oder kantonale Beschränkungen von Standorten von Mobil- funkanlagen zwar rechtfertigen (vgl. Urteil des Bundesgerichts vom 8. Ja- nuar 2019 [1C_167/2018], Erw. 2.). Im vorliegenden Fall liegen aber keine Vorschriften vor, die die Zulässigkeit ideeller Einwirkungen regeln. Nament- lich ist keine Prioritätsordnung (sog. Kaskadenmodell) in der Nutzungsord- nung vorgesehen, in welchen Zonen Mobilfunkantennen bevorzugt zu er- stellen sind. Insofern ist eine Verweigerung der Baubewilligung aufgrund von ideellen Immissionen, entgegen der Auffassung der Beschwerdefüh- rer, weder unter dem Titel der Zonenkonformität noch unter demjenigen des Beeinträchtigungsverbots gerechtfertigt.</w:t>
      </w:r>
    </w:p>
    <w:p>
      <w:r>
        <w:rPr>
          <w:b/>
        </w:rPr>
        <w:t>E. 6</w:t>
      </w:r>
    </w:p>
    <w:p>
      <w:r>
        <w:t>Die Beschwerdeführer rügen sodann sinngemäss eine Verletzung von § 26 EG UWR. § 26 EG UWR lautet: Der am besten geeignete Standort von Antennen, die den bundesrechtli- chen Vorschriften über den Schutz vor nichtionisierender Strahlung unter- stehen, ist gestützt auf eine Abwägung der Interessen der Betreiberinnen beziehungsweise der Betreiber und der Standortgemeinde sowie gegebe- nenfalls betroffener Nachbargemeinden zu wählen. Die Interessenabwä- gung berücksichtigt insbesondere Aspekte des Landschafts- und des Orts- bildschutzes sowie der Siedlungsentwicklung. Die Baubewilligungsbehörde hat das Baugesuch unter Vornahme der Inte- ressenabwägung zu prüfen und über die Bewilligungsfähigkeit des Bauvor- habens zu entscheiden. Voraussetzung der Prüfung ist die Vollständigkeit des Baugesuchs. Um die privaten Interessen der Betreiberinnen bzw. jenes an einer guten Versorgung berücksichtigen zu können, müssen diese nach- weis- und ermittelbar sein. Der Bauherrin obliegt es, in einem begründeten Standortevaluationsbericht überprüfbare Grundlagen dazu beizubringen, in angemessenem Umkreis den aus ihrer Sicht bestgeeigneten von mehreren realistischen Standorten gewählt zu haben. Dabei ist die Versorgungssitu- ation und der funktechnische Nutzen im entsprechenden Gebiet mit Hilfe von Simulationsmodellen zu veranschaulichen. In diesem Sinne ist auch</w:t>
      </w:r>
    </w:p>
    <w:p>
      <w:r>
        <w:t>- 9 - ausreichend detailliertes Kartenmaterial notwendig (zum Ganzen AGVE 2012, S. 113, Erw. 4.2.2). Im Baubewilligungsentscheid hielt der Gemeinderat fest, dass es sich beim gewählten Standort um den bestgeeigneten Standort im Sinne von § 26 EG UWR handle (Baubewilligung vom 3. Februar 2022, S. 3 [Vorakten, act. 378]). Dem Evaluationsbericht der Beschwerdegegnerin vom 14. Ok- tober 2020 lässt sich zudem die aktuelle Abdeckungssituation entnehmen und der funktechnische Nutzen des beantragten Standorts. Unter dem Titel Standortakquisition wurden schliesslich die geprüften Standortoptionen do- kumentiert, welche aufgrund von Absagen seitens der Eigentümerschaft nicht weiter geprüft worden sind (Evaluationsbericht vom 14. Oktober 2020, S. 12 [Vorakten, act. 39) oder verworfen wurden "aufgrund NISV" (Evalua- tionsbericht vom 14. Oktober 2020, S. 11 [Vorakten, act. 40]). Der Evaluationsbericht vom 14. Oktober 2020 ist dürftig und kann nur als knapp ausreichend bezeichnet werden. Gestützt auf die Ausführungen des Gemeinderats zum ortsbildverträglich gewählten Standort und den knap- pen aber nachvollziehbaren Evaluationsbericht durfte die Vorinstanz den- noch davon ausgehen, dass es sich beim beantragten Standort um den bestgeeigneten i.S.v. § 26 EG UWR handelt. Ein die relevanten Interessen insgesamt besser wahrender Standort für eine Mobilfunkanlage ist nicht vorhanden und wird von den Beschwerdeführern auch nicht genannt.</w:t>
      </w:r>
    </w:p>
    <w:p>
      <w:r>
        <w:rPr>
          <w:b/>
        </w:rPr>
        <w:t>E. 7</w:t>
      </w:r>
    </w:p>
    <w:p>
      <w:r>
        <w:t>Die Beschwerdeführer rügen sinngemäss eine Verletzung des Vorsorge- prinzips und weisen auf das Gesundheitsrisiko nichtionisierender Strahlung hin (Beschwerde, S. 6 f.). Das Bundesgericht hat, in Kenntnis der von den Beschwerdeführern ange- führten Newsletter-Sonderausgabe der Beratenden Expertengruppe nicht- ionisierende Strahlung (BERENIS) vom Januar 2021 sowie anderer Stu- dien, Berichte und Publikationen die Rechtmässigkeit der Immissions- und Anlagegrenzwerte bestätigt (vgl. etwa Urteil des Bundesgerichts 1C_100/2021 vom 14. Februar 2023). In erster Linie ist es Sache der zuständigen Fachbehörden und nicht des Verwaltungsgerichts, die entsprechende internationale Forschung sowie die technische Entwicklung zu verfolgen und gegebenenfalls eine Anpas- sung der Grenzwerte der NISV vorzuschlagen. Der Bund verfolgt zusam- men mit der BERENIS permanent die wissenschaftliche Entwicklung und lässt die neusten Erkenntnisse laufend in seine Beurteilung einfliessen (vgl. auch die Informationspflichten des BAFU gemäss Art. 19b NISV). Es be- stehen gemäss Bundesgericht zurzeit keine hinreichenden Hinweise, wo- nach die Fachbehörden des Bundes oder der Bundesrat eine Anpassung</w:t>
      </w:r>
    </w:p>
    <w:p>
      <w:r>
        <w:t>- 10 - der Grenzwerte hätten beantragen bzw. vornehmen müssen. Mit der An- wendung der geltenden Immissions- und Anlagegrenzwerte der NISV wird das Vorsorgeprinzip nicht verletzt. Soweit die Beschwerdeführer schliesslich einwenden, dass sich der Stand- ort der geplanten Mobilfunkanlage in der Nähe eines Kindergartens, eines Kinderheim sowie eines Wohngebietes mit vielen Kindern befinde, ist da- rauf hinzuweisen, dass der Schutz von Kindern vor nichtionisierender Strahlung bundesrechtlich nicht über die auch für Erwachsene geltenden Immissions- und Anlagegrenzwerte hinausgeht (vgl. Urteil des Bundesge- richts 1C_451/2017 vom 30. Mai 2018, Erw. 4.2.2). Mobilfunkanlagen in unmittelbarer Nähe von Schulen, Kindergärten können zwar erhebliche ide- elle Immissionen verursachen, weshalb sie kommunale oder kantonale Be- schränkungen von Standorten von Mobilfunkanlagen rechtfertigen würden (vgl. Urteil des Bundesgerichts 1C_167/2018 vom 8. Januar 2019, Erw. 2.4). Solche Beschränkungen bestehen im vorliegenden Fall jedoch nicht.</w:t>
      </w:r>
    </w:p>
    <w:p>
      <w:r>
        <w:rPr>
          <w:b/>
        </w:rPr>
        <w:t>E. 8</w:t>
      </w:r>
    </w:p>
    <w:p>
      <w:r>
        <w:t>Die Beschwerdeführer bringen ferner vor, dass die Sendeleistungen im Standortdatenblatt zu tief deklariert worden seien. Durch die Änderung der NISV am 17. Dezember 2021 (Anhang 1 Ziffer 63) bestehe die Möglichkeit, bei adaptiven Antennen einen Korrekturfaktor sowie nicht mehr den Spit- zenwert, sondern einen anderen Wert zu berücksichtigen. Die strittigen An- lagen könnten somit eine höhere effektive Strahlungsleistung abgeben als in den Standortdatenblättern vermerkt (vgl. Beschwerde, S. 7 f.). Der Einwand der Beschwerdeführer ist unbegründet. Bei der vorliegend strittigen Anlage wurde kein Korrekturfaktor beantragt, weshalb ein solcher bei der NIS-Prognose korrekterweise auch nicht berücksichtigt wurde. Die NIS-Prognosen basieren somit korrekterweise auf dem Betriebszustand des maximalen Gesprächs- und Datenverkehrs bei maximaler Sendeleis- tung und sind nicht zu beanstanden. Nicht Gegenstand des vorliegenden Verfahrens bildet schliesslich die Frage, ob künftig ein Korrekturfaktor ohne Durchführung eines Baubewilligungsverfahrens zur Anwendung kommen darf oder nicht. Dies wird in einem konkreten Fall zu entscheiden sein.</w:t>
      </w:r>
    </w:p>
    <w:p>
      <w:r>
        <w:rPr>
          <w:b/>
        </w:rPr>
        <w:t>E. 9</w:t>
      </w:r>
    </w:p>
    <w:p>
      <w:r>
        <w:t>Die Beschwerden weisen auf den in Art. 29 Abs. 2 der Bundesverfas- sung der Schweizerischen Eidgenossenschaft vom 18. April 1999 (BV; SR 101) garantierten Anspruch auf rechtliches Gehör hin, insbesondere auf den Anspruch, mit erheblichen Beweisanträgen gehört zu werden. Begrün- det wird der Einwand lediglich mit dem Hinweis, wonach "mobilfunkkritische Kreise" "über mindestens ebenbürtige Fachleute" verfügen würden (Be- schwerde, S. 8). Inwiefern die Vorinstanzen das rechtliche Gehör der Be- schwerdeführer verletzt haben sollen, wird mit keinem Wort begründet. Aus</w:t>
      </w:r>
    </w:p>
    <w:p>
      <w:r>
        <w:t>- 11 - den Akten ist denn auch nicht ersichtlich, dass von ihnen beantragte Be- weise nicht abgenommen wurden bzw. hätten abgenommen werden müs- sen. Eine Verletzung des rechtlichen Gehörs liegt daher nicht vor.</w:t>
      </w:r>
    </w:p>
    <w:p>
      <w:r>
        <w:rPr>
          <w:b/>
        </w:rPr>
        <w:t>E. 10</w:t>
      </w:r>
    </w:p>
    <w:p>
      <w:r>
        <w:t>Zusammenfassend erweist sich die Beschwerde in allen Punkten als unbe- gründet und ist abzuweisen. III. Bei diesem Ausgang des Verfahrens haben die unterliegenden Beschwer- deführer 1 und der Beschwerdeführer 2 die Verfahrenskosten je zur Hälfte zu bezahlen (vgl. § 31 Abs. 2 VRPG). Zudem haben die Beschwerdefüh- rer 1 und der Beschwerdeführer 2 dem obsiegenden Gemeinderat (Partei- stellung gemäss § 13 Abs. 2 lit. f VRPG) und der obsiegenden Beschwer- degegnerin (Parteistellung gemäss § 13 Abs. 2 lit. b i.V.m. Abs. 1 lit. a VRPG) die Parteikosten je zur Hälfte zu ersetzen (§ 32 Abs. 2 i.V.m. § 29 VRPG). Die Höhe der Parteientschädigung richtet sich nach Massgabe des Dekrets über die Entschädigung der Anwälte vom 10. November 1987 (Anwaltstarif [nachfolgend: AnwT]; SAR 291.150). Gemäss § 8a Abs. 1 AnwT bemisst sich die Entschädigung in vermögensrechtlichen Streitsachen nach dem gemäss § 4 AnwT berechneten Streitwert. Innerhalb der vorgesehenen Rahmenbeträge richtet sich die Entschädigung nach dem mutmasslichen Aufwand des Anwalts, nach der Bedeutung und der Schwierigkeit des Fal- les (§ 8a Abs. 2 AnwT). Die Entschädigung wird als Gesamtbetrag festge- setzt. Auslagen und Mehrwertsteuer sind darin enthalten (§ 8c AnwT). Un- terliegt die obsiegende Partei jedoch selber der Mehrwertsteuerpflicht, darf die Mehrwertsteuer bei der Bemessung der Parteientschädigung nicht mit- einbezogen werden (vgl. AGVE 2011, S. 465, Erw. 12.2.2; Entscheid des Verwaltungsgerichts WBE.2015.337 vom 22. Oktober 2015, Erw. II/2 mit Hinweisen). In Bausachen geht das Verwaltungsgericht praxisgemäss von einer vermö- gensrechtlichen Streitsache aus, wobei der Streitwert in der Regel 10 % der Bausumme beträgt (vgl. AGVE 1992, S. 397, Erw. 2a; 1989, S. 283, Erw. 2a/aa; 1983, S. 249, Erw. 4a). Bei einer Bausumme von Fr. 50'000.00 (vgl. Vorakten, act. 27) ergibt sich somit ein Streitwert von Fr. 5'000.00. Bei einem Streitwert bis Fr. 20'000.00 beträgt in Beschwerdeverfahren der Rahmen für die Entschädigung Fr. 600.00 bis Fr. 4'000.00 (§ 8a Abs. 1 lit. a Ziffer 1 AnwT). Der Streitwert (Fr. 5'000.00) liegt im unteren Bereich des vorgegebenen Rahmens (bis Fr. 20'000.00). Die Schwierigkeit des Fal- les war gering, der Aufwand ebenfalls. Es erscheint deshalb sachgerecht, die Parteikosten des Gemeinderats und der Beschwerdegegnerin auf Fr. 2'000.00 festzusetzen. Davon ist für die D. die MWSt abzuziehen, da</w:t>
      </w:r>
    </w:p>
    <w:p>
      <w:r>
        <w:t>- 12 - die Beschwerdegegnerin mehrwertsteuerpflichtig ist; dies führt zu einem Betrag von Fr. 1'857.00.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