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WBE.2022.385 vom 13. Oktober 2022</w:t>
      </w:r>
    </w:p>
    <w:p>
      <w:r>
        <w:t>AG Verwaltungsgericht, 2022-10-13, DE</w:t>
      </w:r>
    </w:p>
    <w:p>
      <w:r>
        <w:rPr>
          <w:b/>
        </w:rPr>
        <w:t xml:space="preserve">Quelle: </w:t>
      </w:r>
      <w:r>
        <w:t>https://mcp.opencaselaw.ch/entscheid/ag_verwaltungsgericht_WBE.2022.385</w:t>
      </w:r>
    </w:p>
    <w:p>
      <w:r>
        <w:t>FR: AG_VERWALTUNGSGERICHT WBE.2022.385 du 13 octobre 2022</w:t>
      </w:r>
    </w:p>
    <w:p>
      <w:r>
        <w:t>IT: AG_VERWALTUNGSGERICHT WBE.2022.385 del 13 ottobre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Demgemäss ist die Beschwerde abzuweisen, soweit darauf einzutreten ist. III. Bei diesem Verfahrensausgang wird der Beschwerdeführer kostenpflichtig (§ 31 Abs. 2 VRPG). Parteikosten sind keine zu ersetzen (§ 32 Abs. 2 VRPG).</w:t>
      </w:r>
    </w:p>
    <w:p>
      <w:r>
        <w:t>- 9 - Das Verwaltungsgericht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