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WBE.2022.383 vom 6. März 2023</w:t>
      </w:r>
    </w:p>
    <w:p>
      <w:r>
        <w:t>AG Verwaltungsgericht, 2023-03-06, DE</w:t>
      </w:r>
    </w:p>
    <w:p>
      <w:r>
        <w:rPr>
          <w:b/>
        </w:rPr>
        <w:t xml:space="preserve">Quelle: </w:t>
      </w:r>
      <w:r>
        <w:t>https://mcp.opencaselaw.ch/entscheid/ag_verwaltungsgericht_WBE.2022.383</w:t>
      </w:r>
    </w:p>
    <w:p>
      <w:r>
        <w:t>FR: AG_VERWALTUNGSGERICHT WBE.2022.383 du 6 mars 2023</w:t>
      </w:r>
    </w:p>
    <w:p>
      <w:r>
        <w:t>IT: AG_VERWALTUNGSGERICHT WBE.2022.383 del 6 marzo 2023</w:t>
      </w:r>
    </w:p>
    <w:p>
      <w:pPr>
        <w:pStyle w:val="Heading2"/>
      </w:pPr>
      <w:r>
        <w:t>Erwägungen</w:t>
      </w:r>
    </w:p>
    <w:p>
      <w:r>
        <w:rPr>
          <w:b/>
        </w:rPr>
        <w:t>E. 3</w:t>
      </w:r>
    </w:p>
    <w:p>
      <w:r>
        <w:t>Mit E-Mail vom 22. Dezember 2020 wandte sich A. erneut an die Bauver- waltung. Er habe erfahren, dass beim Baugesuch von E. und F. eine Vor- entscheidung, evtl. eine Baubewilligung, ergangen sei. Ihm sei nicht mitge- teilt worden, was die Bauherrschaft alles nachbessern müsse und zur Be- willigung eingereicht habe. Er müsse annehmen, dass diverse Bauten im laufenden Baugesuchsverfahren beurteilt würden, von welchen er im Rah- men seines rechtlichen Gehörs keine Kenntnis habe nehmen und gegen welche er keine (allfällige) Einwendung habe erheben können. Nach verschiedenen E-Mails zwischen den Gemeindebehörden und A. be- antragte letzterer am 8. Januar 2021, die Baubewilligung vom 9. November 2020 sei aufzuheben und als ungültig zu erklären.</w:t>
      </w:r>
    </w:p>
    <w:p>
      <w:r>
        <w:rPr>
          <w:b/>
        </w:rPr>
        <w:t>E. 4</w:t>
      </w:r>
    </w:p>
    <w:p>
      <w:r>
        <w:t>Mit Eingabe vom 14. November 2022 beantragte der Gemeinderat B. die Abweisung der Verwaltungsgerichtsbeschwerde.</w:t>
      </w:r>
    </w:p>
    <w:p>
      <w:r>
        <w:rPr>
          <w:b/>
        </w:rPr>
        <w:t>E. 5</w:t>
      </w:r>
    </w:p>
    <w:p>
      <w:r>
        <w:t>Am 21. November 2022 reichte der Beschwerdeführer eine unaufgefor- derte Stellungnahme ein, mit welcher er an den Anträgen der Verwaltungs- gerichtsbeschwerde sowie an deren Begründung festhielt.</w:t>
      </w:r>
    </w:p>
    <w:p>
      <w:r>
        <w:rPr>
          <w:b/>
        </w:rPr>
        <w:t>E. 6</w:t>
      </w:r>
    </w:p>
    <w:p>
      <w:r>
        <w:t>Das Verwaltungsgericht hat den Fall auf dem Zirkularweg entschieden (vgl. § 7 des Gerichtsorganisationsgesetzes vom 6. Dezember 2022 [GOG; SAR 155.200]).</w:t>
      </w:r>
    </w:p>
    <w:p>
      <w:r>
        <w:t>- 6 -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Ist die Zuständigkeit in der Hauptsache gege- ben, so erstreckt sie sich auch auf Nebenpunkte wie z.B. Verfahrens- und Parteikosten, welche auch allein mit Verwaltungsgerichtsbeschwerde an- gefochten werden können (Aargauische Gerichts- und Verwaltungsent- scheide [AGVE] 2000, S. 352, Erw. I/1; MICHAEL MERKER, Rechtsmittel, Klage und Normenkontrollverfahren nach dem aargauischen Gesetz über die Verwaltungsrechtspflege, Kommentar zu den §§ 38 – 72 VRPG, 1998, N. 5 zu § 52). Für die vorliegende, auf Kostenfragen beschränkte Be- schwerde ist das Verwaltungsgericht somit zuständig. 2. Mit der Verwaltungsgerichtsbeschwerde können die unrichtige oder unvoll- ständige Feststellung des Sachverhalts sowie Rechtsverletzungen gerügt werden (§ 55 Abs. 1 VRPG). Eine Ermessenskontrolle ist dagegen ausge- schlossen (Umkehrschluss aus § 55 Abs. 3 VRPG). Die Festsetzung und Verlegung von Verfahrens- und Parteikosten erfolgt weitgehend nach Ermessen, das Verwaltungsgericht kann sie demnach nur in beschränktem Umfang überprüfen; der Vorinstanz steht in dieser Hin- sicht ein grosser Beurteilungs- und Ermessensspielraum zu (Entscheid des Verwaltungsgerichts WBE.2022.60 vom 29. April 2022, Erw. I/2; RUTH HERZOG, in: Kommentar zum Gesetz über die Verwaltungsrechtspflege im Kanton Bern, 2. Aufl. 2020, N. 19 zu Art. 80, N. 22 zu Art. 66; KASPAR PLÜSS, in: Kommentar zum Verwaltungsrechtspflegegesetz des Kantons Zürich [VRG], 3. Aufl. 2014, N. 25 und 43 zu § 13). II. 1. 1.1. Die Vorinstanz hob in teilweiser Gutheissung der Beschwerde den Ent- scheid des Gemeinderats B. vom 18. Januar 2021 auf, soweit damit die Sitzplatzverglasung auf der nordöstlichen Seite bewilligt wurde, und wies die Sache zur Wiederaufnahme des Baubewilligungsverfahrens bezüglich der Sitzplatzverglasung an den Gemeinderat zurück. Im Übrigen wies sie die Beschwerde ab. Hinsichtlich der Kostenfolgen verpflichtete sie den Be- schwerdeführer, die vorinstanzlichen Verfahrenskosten zur Hälfte zu be-</w:t>
      </w:r>
    </w:p>
    <w:p>
      <w:r>
        <w:t>- 7 - zahlen; die andere Hälfte auferlegte sie der Einwohnergemeinde B. Partei- entschädigungen sprach sie keine zu (angefochtener Entscheid, S. 20 [Dis- positiv]). Zur Begründung des Kostenpunkts führte die Vorinstanz aus, die Be- schwerde sei teilweise gutzuheissen, weshalb der Beschwerdeführer als teilweise obsiegend gelte. Er dringe mit seinem Rechtsbegehren insoweit durch, als der angefochtene Entscheid in Bezug auf die Sitzplatzverglasung aufgehoben werde. Hingegen unterliege er in Bezug auf den Sitzplatz auf der Fertiggarage sowie den Abstellplatz, wobei letzterer im Rahmen der Beschwerdebeurteilung als vernachlässigbar zu betrachten sei. Gemessen an seinen Rechtsbegehren erscheine es sachgerecht, ihn als zur Hälfte obsiegend zu betrachten (angefochtener Entscheid, S. 19). Im konkreten Fall rechtfertige es sich, die (Verfahrens-)Kosten dem Gemeinderat im Um- fang seines Unterliegens, d.h. hälftig, aufzuerlegen, da die Verletzung des rechtlichen Gehörs im dem vorliegend strittigen Wiederaufnahmeverfahren zugrundeliegenden Baubewilligungsverfahren derart schwer wiege, dass dies gar zum Vorliegen eines Wiederaufnahmegrunds geführt habe und diese damit kausal für das vorliegende Verfahren gewesen sei. Es könne in diesem Zusammenhang auch nicht mehr von einem "normalen" Verfah- rensfehler gesprochen werden (angefochtener Entscheid, S. 19). Bezüg- lich der Parteikosten würden bei teilweisem Unterliegen und Obsiegen die Anteile verrechnet, und zwar auch dann, wenn nur eine Partei anwaltlich vertreten sei. Da vorliegend die Verfahrensbeteiligten je hälftig obsiegten, seien somit keine Parteikosten zu ersetzen (angefochtener Entscheid, S. 19). An dieser Beurteilung hält die Vorinstanz auch vor Verwaltungsge- richt fest (siehe Beschwerdeantwort BVU). 1.2. Der Beschwerdeführer beantragt, das Dispositiv des angefochtenen Ent- scheids sei dahingehend neu zu fassen, dass in Gutheissung der Be- schwerde der Entscheid des Gemeinderats B. vom 18. Januar 2021 aufzu- heben sei, soweit damit die Sitzplatzverglasung auf der nordöstlichen Seite bewilligt worden sei, und die Sache sei zur Wiederaufnahme des Baube- willigungsverfahrens bezüglich der Sitzplatzverglasung an den Gemeinde- rat zurückzuweisen. Die vorinstanzlichen Verfahrenskosten seien vollum- fänglich der Einwohnergemeinde B. aufzuerlegen. Zudem sei die Einwoh- nergemeinde B. zu verpflichten, dem Beschwerdeführer eine angemes- sene Parteientschädigung gemäss dem Dekret über die Entschädigung der Anwälte vom 10. November 1987 (Anwaltstarif; SAR 291.150) zu bezahlen (vgl. Beschwerde, S. 3 [Antrag Ziffern 1.1 und 1.2]). Zur Begründung bringt der Beschwerdeführer zusammenfassend vor, der Grad des Obsiegens bzw. Unterliegens bestimme sich zunächst einzig an- hand der vom Beschwerdeführer gestellten Rechtsbegehren. Der Be-</w:t>
      </w:r>
    </w:p>
    <w:p>
      <w:r>
        <w:t>- 8 - schwerdeführer habe im konkreten Fall nur die Aufhebung der Baubewilli- gung BG 2020-40 in Bezug auf die nicht ordnungsgemäss publizierten Bau- ten verlangt. Indem die Vorinstanz den Grad des Obsiegens bzw. Unterlie- gens und damit die Kosten so verteilt habe, als hätte der Beschwerdeführer die vollumfängliche Aufhebung des angefochtenen Entscheids beantragt, habe sie den Sachverhalt falsch festgestellt bzw. rechtsfehlerhaft entschie- den. Der Sitzplatz auf der Fertiggarage sei nicht Bestandteil des angefoch- tenen Baubewilligungsverfahrens gewesen und sei nachweislich nicht öf- fentlich aufgelegen, obwohl es sich um eine Baute handle, bezüglich derer eine ordnungsgemässe Publikation hätte erfolgen müssen. Dies stelle eine schwerwiegende Verletzung des rechtlichen Gehörs gemäss Art. 29 Abs. 2 der Bundesverfassung der Schweizerischen Eidgenossenschaft vom 18. April 1999 (BV; SR 101) dar. Die Vorinstanz rechtfertige diese Verlet- zung des rechtlichen Gehörs mit der Begründung, der Beschwerdeführer habe sich treuwidrig verhalten und werfe ihm vor, er hätte aufgrund bzw. trotz der offensichtlich falschen Behauptung des Bauverwalters Einwen- dungen geltend machen müssen. Damit begründe die Vorinstanz gewis- sermassen einen "umgekehrten Vertrauensschutz zum Nachteil des Priva- ten". Es werde eine falsche Auskunft von der zuständigen Behörde gege- ben und sodann argumentiert, die falsch wiedergegebene Rechtslage gelte nun, da der Adressat der falschen Auskunft sich nicht gewehrt habe. Eine solche Rechtfertigung sei willkürlich und vermöge die Verletzung des recht- lichen Gehörs des Beschwerdeführers durch die unterlassene Auflage des Sitzplatzes auf der Fertiggarage keinesfalls zu heilen (zum Ganzen: Be- schwerde, S. 12 ff., insbesondere S. 19 f.; ferner auch Replik). 2. 2.1.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Die Parteikosten werden im Beschwerdeverfahren in der Regel nach Massgabe des Unterliegens und Obsiegens auf die Par- teien verlegt (§ 32 Abs. 2 VRPG). Obsiegender in einem Verfahren ist, wer gemessen am Dispositiv und un- abhängig von der Begründung mit seinem Begehren durchgedrungen ist; massgebend ist stets der formelle Ausgang des Verfahrens (AGVE 1991, S. 153, Erw. 1; Entscheide des Verwaltungsgerichts WBE.2019.34 vom 27. Juni 2017, Erw. II/5.2, WBE.2015.441 vom 26. April 2016 [WBE.2015.441], Erw. II/3.1).</w:t>
      </w:r>
    </w:p>
    <w:p>
      <w:r>
        <w:t>- 9 - 2.2. Der Beschwerdeführer stellte im vorinstanzlichen Verfahren den Antrag, die im Baugesuchsverfahren EBPA-6985-7567 fehlerhaft ergangene Baube- willigung BG 2020-40 sei in Bezug auf die nicht ordnungsgemäss publizier- ten Bauten aufzuheben und der Gemeinderat sei anzuweisen, bezüglich dieser Bauten ein neues nachträgliches Baugesuchsverfahren mit korrek- ter Auflage durchzuführen (vgl. Vorakten, act. 11 und 39, ferner act. 100). Aus der Begründung der Verwaltungsbeschwerde ergibt sich, dass sich der Beschwerdeführer dabei namentlich auf die Erstellung und Erweiterung des gedeckten Sitzplatzes in nordöstlicher Richtung (d.h. die Sitzplatzvergla- sung), den nordwestlich orientierten Sitzplatz auf der Fertiggarage mit Ge- länder- und Storenmontage (d.h. den Sitzplatz auf der Fertiggarage) sowie den ebenfalls in nordwestlicher Richtung erstellten Abstellplatz mit Ver- bund- und Rasengittersteinen ohne Entwässerung bezog (vgl. Vorakten, act. 12 ff. i.V.m. act. 39). Die Vorinstanz hiess die Beschwerde teilweise gut und hob den Entscheid des Gemeinderats vom 18. Januar 2021 auf, soweit damit die Sitzplatzver- glasung auf der nordöstlichen Seite bewilligt worden war, und wies die Sa- che zur Wiederaufnahme des Baubewilligungsverfahrens bezüglich der Sitzplatzverglasung an den Gemeinderat zurück. Im Übrigen wies die Vor- instanz die Beschwerde ab (angefochtener Entscheid, S. 20 [Dispositiv-Zif- fer 1]). Mit anderen Worten hiess die Vorinstanz die Beschwerde aus- schliesslich betreffend die Sitzplatzverglasung gut, nicht jedoch bezüglich der weiteren, angeblich nicht ordnungsgemäss publizierten Bauten, d.h. den vor Vorinstanz ausdrücklich gerügten Sitzplatz auf der Fertiggarage sowie den Abstellplatz. Deshalb wurde die Beschwerde bloss "teilweise" gutgeheissen. 2.3. Vor Verwaltungsgericht beantragt der Beschwerdeführer die Anpassung von Dispositiv-Ziffer 1 des angefochtenen Entscheids dahingehend, dass "in Gutheissung" der vor Vorinstanz erhobenen Beschwerde der Entscheid des Gemeinderats vom 18. Januar 2021 aufzuheben sei, soweit damit die Sitzplatzverglasung auf der nordöstlichen Seite bewilligt worden sei, und die Sache sei zur Wiederaufnahme des Baubewilligungsverfahrens bezüg- lich der Sitzplatzverglasung an den Gemeinderat zurückzuweisen (Be- schwerde, S. 3 [Antrag Ziffer 1.1/1]). Dieser Antrag ist in sich nicht schlüs- sig. Bei einer vollständigen Gutheissung der vorinstanzlichen Beschwerde wäre der Entscheid des Gemeinderats vom 18. Januar 2021 nicht nur auf- zuheben gewesen, soweit damit die Sitzplatzverglasung auf der nordöstli- chen Seite bewilligt worden war, und die Sache wäre nicht nur zur Wieder- aufnahme des Baubewilligungsverfahrens bezüglich der Sitzplatzvergla- sung an den Gemeinderat zurückzuweisen gewesen. Sondern der Ent- scheid des Gemeinderats vom 18. Januar 2021 hätte konsequenterweise</w:t>
      </w:r>
    </w:p>
    <w:p>
      <w:r>
        <w:t>- 10 - auch bezogen auf die weiteren angeblich nicht ordnungsgemäss publizier- ten Bauten – d.h. namentlich den Sitzplatz auf der Fertiggarage und den Abstellplatz – aufgehoben und die Sache zur Wiederaufnahme des Baube- willigungsverfahrens auch bezüglich dieser Bauten an den Gemeinderat zurückgewiesen werden müssen. Der Beschwerdeführer beantragt solches vor Verwaltungsgericht jedoch nicht (siehe Beschwerde, S. 3 [Antrag Zif- fer 1.1/1]). In der Vorbemerkung hält er zudem ausdrücklich fest, er hätte den Entscheid der Vorinstanz auch als Ganzes anfechten können, die vor- liegende Verwaltungsgerichtsbeschwerde beschränke sich jedoch auf die Anfechtung der Kostenverteilung (Beschwerde, S. 12). Grundlage für die Beurteilung der vorinstanzlichen Kostenverteilung bildet der Ausgang des Verfahrens vor Vorinstanz. Das Verwaltungsgericht ist an diesen Verfahrensausgang gebunden. Ob die vorinstanzliche Beurteilung in der Sache, welche Grundlage für den umstrittenen Kostenentscheid bil- dete, richtig war, ist im Rahmen der vorliegenden Beurteilung nicht zu hin- terfragen. Bezüglich des Sitzplatzes auf der Fertiggarage kam die Vor- instanz zum Schluss, aufgrund seiner (Vor-)Kenntnisse wäre es dem Be- schwerdeführer nach Treu und Glauben zuzumuten und von ihm auch zu erwarten gewesen, diesbezüglich eine Einwendung zu machen und gel- tend zu machen, dass für die Beurteilung des Baugesuchs und zur Wah- rung des rechtlichen Gehörs weitere Unterlagen nötig seien. Stattdessen habe er auf eine Einwendung verzichtet, womit es gegen Treu und Glauben verstosse, diesbezüglich nunmehr einen Wiederaufnahmegrund geltend zu machen (vgl. angefochtener Entscheid, S. 17). Für den Sitzplatz auf der Fertiggarage kam für die Vorinstanz eine Anordnung wie bei der Sitzplatz- verglasung daher nicht in Frage. Dieses Ergebnis ist hinzunehmen und im Rahmen des vorliegenden Kostenbeschwerdeverfahrens nicht zu überprü- fen. Soweit der Beschwerdeführer vor Verwaltungsgericht erörtert, dass und weshalb die Vorinstanz seiner Ansicht nach zu Unrecht keine Auflage betreffend den Sitzplatz auf der Fertiggarage gemacht habe und die Bau- bewilligung auch in Bezug auf den Sitzplatz auf der Fertiggarage hätte auf- gehoben werden müssen (vgl. Beschwerde, S. 15 ff.; ferner auch Replik), gehen die Ausführungen an der Sache vorbei. Hätte der Beschwerdeführer das Beurteilungsergebnis der Vorinstanz hinsichtlich des Sitzplatzes auf der Fertiggarage als falsch beanstanden wollen, hätte er den Entscheid der Vorinstanz auch in der Sache – und nicht bloss im Kostenpunkt – anfechten und beantragen müssen, die Baubewilligung sei (auch) bezüglich des Sitz- platzes auf der Fertiggarage aufzuheben und die Sache sei zur Wiederauf- nahme des Baubewilligungsverfahrens (auch) bezüglich des Sitzplatzes auf der Fertiggarage an den Gemeinderat zurückzuweisen. Der Beschwer- deführer hat, wie dargelegt, jedoch keinen solchen Antrag gestellt, sondern lediglich eine Kostenbeschwerde erhoben. Unter diesen Umständen muss es dabei bleiben, dass der Verfahrensausgang gemäss Entscheid der Vor- instanz die Grundlage für die Verlegung der vorinstanzlichen Verfahrens- und Parteikosten bildet.</w:t>
      </w:r>
    </w:p>
    <w:p>
      <w:r>
        <w:t>- 11 - Dem vorinstanzlichen Verfahrensausgang entsprechend wurde die Verwal- tungsbeschwerde teilweise gutgeheissen, indem der Entscheid des Ge- meinderats vom 18. Januar 2021 in Bezug auf die nachträgliche Baubewil- ligung für die Sitzplatzverglasung aufgehoben und die Sache zur Wieder- aufnahme des Baubewilligungsverfahrens bezüglich der Sitzplatzvergla- sung an den Gemeinderat zurückgewiesen wurde. Im Übrigen, d.h. soweit (sinngemäss) die Wiederaufnahme des nachträglichen Baubewilligungs- verfahrens in Bezug auf den Sitzplatz auf der Fertiggarage und den Abstell- platz verlangt wurde, wurde die Beschwerde abgewiesen (siehe angefoch- tener Entscheid, S. 18). Dass die Vorinstanz bei diesem Verfahrensaus- gang von einem je hälftigen Obsiegen bzw. Unterliegen des Beschwerde- führers ausging, ist nicht zu beanstanden, zumal diese Einschätzung ohne weiteres innerhalb des Beurteilungs- und Ermessensspielraums liegt, wel- cher der Vorinstanz bei der Verlegung von Verfahrens- und Parteikosten zusteht (siehe Erw. I/2). 2.4. Angesichts des Verfahrensausgangs war es gemäss § 31 Abs. 2 VRPG richtig, dass die Vorinstanz dem (zur Hälfte unterliegenden) Beschwerde- führer die Hälfte der vorinstanzlichen Verfahrenskosten auferlegte. Die an- dere Hälfte wurde dem Gemeinderat (bzw. der Einwohnergemeinde) über- bunden, da die Vorinstanz dem Gemeinderat im Zusammenhang mit der Sitzplatzverglasung eine grobe Verletzung des rechtlichen Gehörs vorwarf (vgl. § 31 Abs. 2 Satz 2 VRPG), weshalb es diesbezüglich auch zu einer Aufhebung und Rückweisung mit der Anordnung einer Wiederaufnahme kam. Bei der Verlegung der Parteikosten berücksichtigte die Vorinstanz zu Recht die Praxis, wonach bei teilweisem Obsiegen / Unterliegen die Anteile des Obsiegens bzw. Unterliegens miteinander verrechnet werden (AGVE 2012, S. 223, Erw. 4.2.2.1; 2011, S. 247, Erw. 3.1, 2009, S. 278, Erw. III). Da von einem je hälftigen Obsiegen / Unterliegen auszugehen war, waren keine Parteikosten zu ersetzen (1/2 - 1/2 = 0). 3. Die Beschwerde erweist sich somit als unbegründet und ist abzuweisen. III. Bei diesem Ausgang des Verfahrens wird der Beschwerdeführer kosten- pflichtig (§ 31 Abs. 2 VRPG). Zudem hat der dem anwaltlich vertretenen Gemeinderat, welcher die Abweisung der Verwaltungsgerichtsbeschwere beantragte (Eingabe Gemeinderat vom 14. November 2022), die Partei- kosten zu ersetzen (§ 32 Abs. 2 i.V.m. § 29 VRPG). Angesichts der gerin- gen Bedeutung, der knapp mittleren Schwierigkeit und des marginalen mut- masslichen Aufwands des Anwaltes erscheinen Parteikosten in Höhe von</w:t>
      </w:r>
    </w:p>
    <w:p>
      <w:r>
        <w:t>- 12 - Fr. 600.00 sachgerecht (siehe § 8a Abs. 1 lit. a Ziffer 1, § 8a Abs. 2 und § 8c AnwT); der Betrag entspricht dem Minimalbetrag gemäss dem zur Ver- fügung stehenden Rahmen von Fr. 600.00 bis Fr. 4'000.00 (siehe § 8a Abs. 1 lit. a Ziffer 1 AnwT).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