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WBE.2022.352 vom 17. Mai 2023</w:t>
      </w:r>
    </w:p>
    <w:p>
      <w:r>
        <w:t>AG Verwaltungsgericht, 2023-05-17, DE</w:t>
      </w:r>
    </w:p>
    <w:p>
      <w:r>
        <w:rPr>
          <w:b/>
        </w:rPr>
        <w:t xml:space="preserve">Quelle: </w:t>
      </w:r>
      <w:r>
        <w:t>https://mcp.opencaselaw.ch/entscheid/ag_verwaltungsgericht_WBE.2022.352</w:t>
      </w:r>
    </w:p>
    <w:p>
      <w:r>
        <w:t>FR: AG_VERWALTUNGSGERICHT WBE.2022.352 du 17 mai 2023</w:t>
      </w:r>
    </w:p>
    <w:p>
      <w:r>
        <w:t>IT: AG_VERWALTUNGSGERICHT WBE.2022.352 del 17 maggio 2023</w:t>
      </w:r>
    </w:p>
    <w:p>
      <w:pPr>
        <w:pStyle w:val="Heading2"/>
      </w:pPr>
      <w:r>
        <w:t>Erwägungen</w:t>
      </w:r>
    </w:p>
    <w:p>
      <w:r>
        <w:rPr>
          <w:b/>
        </w:rPr>
        <w:t>E. 3</w:t>
      </w:r>
    </w:p>
    <w:p>
      <w:r>
        <w:t>Die Kosten des Verfahrens, bestehend aus der Staatsgebühr von Fr. 12'800.00, der Kanzleigebühr von Fr. 520.00 und den Auslagen von Fr. 280.00, zusammen Fr. 13'600.00, sind zu 80% (Fr. 10'880.00) von der Beschwerdeführerin und zu 20% (Fr. 2'720.00) von der Beschwerdegeg- nerin zu bezahlen. Nach Verrechnung mit dem Kostenvorschuss sind der Beschwerdeführe- rin noch Fr. 1'120.00 zurückzuerstatten.</w:t>
      </w:r>
    </w:p>
    <w:p>
      <w:r>
        <w:t>- 3 -</w:t>
      </w:r>
    </w:p>
    <w:p>
      <w:r>
        <w:rPr>
          <w:b/>
        </w:rPr>
        <w:t>E. 4</w:t>
      </w:r>
    </w:p>
    <w:p>
      <w:r>
        <w:t>Die Beschwerdeführerin hat der Beschwerdegegnerin einen Parteikosten- ersatz von Fr. 5'340.00 (inkl. MWST und Auslagen) zu bezahlen. C. 1. Diesen Entscheid liess die A. AG am 13. September 2022 mit Beschwerde beim Verwaltungsgericht anfechten, mit den Anträgen: 1. Es sei das angefochtene Urteil des SKE vom 27. April 2022, Nr. 4_BE.2021.2, in Ziff. 2 vollumfänglich und den Ziffern 3 und 4, soweit die Beschwerdeführerin mit Verfahrenskosten belastet und ihr eine Partei- entschädigung zu Gunsten der Beschwerdegegnerin auferlegt worden ist, aufzuheben und es sei gleichzeitig der Einspracheentscheid und der Ent- scheid des Gemeinderats Q. vom 13. Januar 2021/11. März 2020 betreffend Mehrwertabgabeverfügung LIG Q. Nr. aaa aufzuheben und es sei auf die Erhebung einer Mehrwertabgabe für LIG Q. Nr. aaa zu verzichten. 2. Es seien die Verfahrenskosten des vorinstanzlichen Verfahrens und des vorliegenden Verwaltungsgerichtsbeschwerdeverfahrens der Beschwer- degegnerin, evtl. dem Beigeladenen, aufzuerlegen. 3. Es sei der Beschwerdeführerin für das Verfahren vor SKE und für das vor- liegende Verfahren vor Verwaltungsgericht eine angemessene Parteient- schädigung auszurichten. 2. Mit Beschwerdeantworten vom 11. Oktober 2022 und 14. November 2022 beantragten das Departement Bau, Verkehr und Umwelt (BVU), Rechtsab- teilung, im Namen des Regierungsrats und die Einwohnergemeinde Q. je die kostenfällige Abweisung der Beschwerde. Das SKE verzichtete mit Eingabe vom 13. Oktober 2022 auf eine Stellungnahme zur Beschwerde und verwies stattdessen auf die Erwägungen des angefochtenen Entscheids. 3. Im zweiten Schriftenwechsel (Replik vom 3. Januar 2023; Duplik vom 23. Januar 2023) hielten die Beschwerdeführerin und die Beschwerdegeg- nerin an ihren Anträgen fest. D. Das Verwaltungsgericht hat den Fall auf dem Zirkularweg entschieden (§ 7 des Gerichtsorganisationsgesetzes vom 6. Dezember 2011 [GOG; SAR 155.200]).</w:t>
      </w:r>
    </w:p>
    <w:p>
      <w:r>
        <w:t>- 4 - Das Verwaltungsgericht zieht in Erwägung: 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