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WBE.2022.23 vom 20. Mai 2022</w:t>
      </w:r>
    </w:p>
    <w:p>
      <w:r>
        <w:t>AG Verwaltungsgericht, 2022-05-20, DE</w:t>
      </w:r>
    </w:p>
    <w:p>
      <w:r>
        <w:rPr>
          <w:b/>
        </w:rPr>
        <w:t xml:space="preserve">Quelle: </w:t>
      </w:r>
      <w:r>
        <w:t>https://mcp.opencaselaw.ch/entscheid/ag_verwaltungsgericht_WBE.2022.23</w:t>
      </w:r>
    </w:p>
    <w:p>
      <w:r>
        <w:t>FR: AG_VERWALTUNGSGERICHT WBE.2022.23 du 20 mai 2022</w:t>
      </w:r>
    </w:p>
    <w:p>
      <w:r>
        <w:t>IT: AG_VERWALTUNGSGERICHT WBE.2022.23 del 20 maggio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Verwaltungsgericht hat den Fall am 20. Mai 2022 beraten und ent- schieden.</w:t>
      </w:r>
    </w:p>
    <w:p>
      <w:r>
        <w:t>- 3 - Das Verwaltungsgericht zieht in Erwägung: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