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WBE.2022.20 vom 26. April 2022</w:t>
      </w:r>
    </w:p>
    <w:p>
      <w:r>
        <w:t>AG Verwaltungsgericht, 2022-04-26, DE</w:t>
      </w:r>
    </w:p>
    <w:p>
      <w:r>
        <w:rPr>
          <w:b/>
        </w:rPr>
        <w:t xml:space="preserve">Quelle: </w:t>
      </w:r>
      <w:r>
        <w:t>https://mcp.opencaselaw.ch/entscheid/ag_verwaltungsgericht_WBE.2022.20</w:t>
      </w:r>
    </w:p>
    <w:p>
      <w:r>
        <w:t>FR: AG_VERWALTUNGSGERICHT WBE.2022.20 du 26 avril 2022</w:t>
      </w:r>
    </w:p>
    <w:p>
      <w:r>
        <w:t>IT: AG_VERWALTUNGSGERICHT WBE.2022.20 del 26 aprile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Am 1. Februar 2022 teilte der Beschwerdeführer dem Verwaltungsgericht mit, er werde den eingeforderten Kostenvorschuss von Fr. 800.00 erst be- zahlen, wenn eine Zusage vorliege, dass am Ort der Geschwindigkeits- überschreitung eine Augenscheinsverhandlung stattfinde. Der instruierende Verwaltungsrichter hielt in der Verfügung vom 3. Februar 2022 fest, dass der Kostenvorschuss unabhängig von allfälligen Beweisan- ordnungen zu bezahlen sei, ansonsten nicht auf die Beschwerde eingetre- ten werde. In der Folge bezahlte der Beschwerdeführer den Kostenvor- schuss innert der angesetzten Nachfrist. In der Eingabe vom 14. Februar 2022 wiederholte der Beschwerdeführer seinen Antrag, es sei am Ort der Geschwindigkeitsüberschreitung eine Augenscheinsverhandlung durchzuführen.</w:t>
      </w:r>
    </w:p>
    <w:p>
      <w:r>
        <w:rPr>
          <w:b/>
        </w:rPr>
        <w:t>E. 4</w:t>
      </w:r>
    </w:p>
    <w:p>
      <w:r>
        <w:t>Das Strassenverkehrsamt hat den Beginn des Führerausweisentzugs auf den 11. März 2022 festgelegt und dieser Termin ist während des Be- schwerdeverfahrens verstrichen. Aufgrund der aufschiebenden Wirkung der Beschwerde war der Führerausweisentzug während des Beschwerde- verfahrens nicht vollstreckbar (vgl. § 46 Abs. 1 und § 76 Abs. 1 VRPG). Daher hat das Verwaltungsgericht von Amtes wegen einen neuen Entzugs- beginn festzusetzen. Dieser ist mit Rücksicht auf die laufende Rechtsmit- telfrist auf 15. Juni 2022 festzulegen. II. 1. Entsprechend dem Verfahrensausgang hat der Beschwerdeführer die ver- waltungsgerichtlichen Kosten zu tragen (vgl. § 31 Abs. 2 VRPG). Die Staatsgebühr wird unter Berücksichtigung des Zeitaufwands und der Bedeutung der Sache auf Fr. 800.00 festgelegt (§ 3 Abs. 1 i.V.m. § 22 Abs. 1 lit. c des Dekrets über die Verfahrenskosten vom 24. November 1987 [Verfahrenskostendekret, VKD; SAR 221.150]). Für die Kanzleige- bühr und die Auslagen wird auf §§ 25 ff. VKD verwiesen. 2. Parteikosten sind nicht zu ersetzen (vgl. § 29 i.V.m. § 32 Abs. 2 VRPG).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