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WBE.2021.460 vom 15. Mai 2023</w:t>
      </w:r>
    </w:p>
    <w:p>
      <w:r>
        <w:t>AG Verwaltungsgericht, 2023-05-15, DE</w:t>
      </w:r>
    </w:p>
    <w:p>
      <w:r>
        <w:rPr>
          <w:b/>
        </w:rPr>
        <w:t xml:space="preserve">Quelle: </w:t>
      </w:r>
      <w:r>
        <w:t>https://mcp.opencaselaw.ch/entscheid/ag_verwaltungsgericht_WBE.2021.460</w:t>
      </w:r>
    </w:p>
    <w:p>
      <w:r>
        <w:t>FR: AG_VERWALTUNGSGERICHT WBE.2021.460 du 15 mai 2023</w:t>
      </w:r>
    </w:p>
    <w:p>
      <w:r>
        <w:t>IT: AG_VERWALTUNGSGERICHT WBE.2021.460 del 15 maggio 2023</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Bundesgesetzes über die Ausländerinnen und Ausländer vom 16. Dezember 2005 (Ausländergesetz, AuG; SR 142.20) und dessen Um- benennung zum AIG (Änderung vom 16. Dezember 2016; AS 2017 6521, 2018 3171; Bundesblatt [BBl] 2013 2397, 2016 2821) neu ins Gesetz ein- gefügt und per 1. Januar 2019 in Kraft gesetzt.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der Verordnung über Zulassung, Aufenthalt und Erwerbstätigkeit vom 24. Oktober 2007 [VZAE; SR 142.201]; vgl. Entscheid des Verwaltungsge- 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w:t>
      </w:r>
    </w:p>
    <w:p>
      <w:r>
        <w:t>- 8 -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 ter Androhung der Rückstufung unter Umständen sogar gleichzeitig verfügt werden, wenn sowohl ein Widerrufs- als auch ein Rückstufungsgrund vor- liegt, der Widerruf mit Wegweisung und die Rückstufung jedoch unverhält- nismässig sind. 3. Nach dem Gesagten haben im vorliegenden Fall die Vorinstanzen zu Recht eine Rückstufung des Beschwerdeführers gemäss Art. 63 Abs. 2 AIG ge- prüft, nachdem sie zum Schluss gelangt waren, ein Widerruf mit Wegwei- sung gemäss Art. 63 Abs. 1 AIG erweise sich zum gegebenen Zeitpunkt als unverhältnismässig (vorinstanzlicher Einspracheentscheid, Erw. 2.2 [act. 6] bzw. als "nicht begründet oder nicht verhältnismässig" (erstinstanz- liche Verfügung, Erw. 1.3 [MI-act. 266]). Im Folgenden ist zu prüfen, ob die Vorinstanz die vom MIKA verfügte Rück- stufung des Beschwerdeführers zu Recht für zulässig befunden hat. 4.</w:t>
      </w:r>
    </w:p>
    <w:p>
      <w:r>
        <w:rPr>
          <w:b/>
        </w:rPr>
        <w:t>E. 3</w:t>
      </w:r>
    </w:p>
    <w:p>
      <w:r>
        <w:t>Eventualiter sei dem Beschwerdeführer die Rückstufung mittels Verwar- nung anzudrohen.</w:t>
      </w:r>
    </w:p>
    <w:p>
      <w:r>
        <w:t>- 4 -</w:t>
      </w:r>
    </w:p>
    <w:p>
      <w:r>
        <w:rPr>
          <w:b/>
        </w:rPr>
        <w:t>E. 4</w:t>
      </w:r>
    </w:p>
    <w:p>
      <w:r>
        <w:t>Alles unter Kosten- und Entschädigungsfolge, zuzüglich Mehrwertsteuer, zulasten der Beschwerdegegnerin. Die Begründung ergibt sich, soweit erforderlich, aus den nachstehenden Erwägungen. Nach Eingang des Kostenvorschusses (act. 22), reichte die Vorinstanz am</w:t>
      </w:r>
    </w:p>
    <w:p>
      <w:r>
        <w:rPr>
          <w:b/>
        </w:rPr>
        <w:t>E. 4.1</w:t>
      </w:r>
    </w:p>
    <w:p>
      <w:r>
        <w:t>In einem ersten Schritt ist zu prüfen, ob ein Rückstufungsgrund vorliegt.</w:t>
      </w:r>
    </w:p>
    <w:p>
      <w:r>
        <w:rPr>
          <w:b/>
        </w:rPr>
        <w:t>E. 4.2.1</w:t>
      </w:r>
    </w:p>
    <w:p>
      <w:r>
        <w:t>Wie bereits ausgeführt liegt ein Rückstufungsgrund im Sinne von Art. 63 Abs. 2 AIG vor, wenn sich erweist, dass die betroffene Person eines oder mehrere der in Art. 58a Abs. 1 AIG genannten Integrationskriterien nicht bzw. nicht mehr erfüllt.</w:t>
      </w:r>
    </w:p>
    <w:p>
      <w:r>
        <w:rPr>
          <w:b/>
        </w:rPr>
        <w:t>E. 4.2.2</w:t>
      </w:r>
    </w:p>
    <w:p>
      <w:r>
        <w:t>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w:t>
      </w:r>
    </w:p>
    <w:p>
      <w:r>
        <w:t>- 9 -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ununterbro- 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andau- ert bzw. angedauert hat. Zudem sollen nur ernsthafte Integrationsdefizite zu einer Rückstufung führen. D.h. es muss ein aktuelles, zu einem erheb- lichen Teil (auch noch) nach dem 1. Januar 2019 verwirklichtes Integra- tionsdefizit von einem gewissen Gewicht bestehen (vgl. BGE 148 II 1, Erw. 5.3; Entscheid des Verwaltungsgerichts WBE.2020.440 vom 18. Juli 2022, Erw. II/3.1 am Schluss).</w:t>
      </w:r>
    </w:p>
    <w:p>
      <w:r>
        <w:rPr>
          <w:b/>
        </w:rPr>
        <w:t>E. 4.2.3</w:t>
      </w:r>
    </w:p>
    <w:p>
      <w:r>
        <w:t>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w:t>
      </w:r>
    </w:p>
    <w:p>
      <w:r>
        <w:t>- 10 - keine Wegweisung beinhaltet. Vielmehr bezweckt sie, mangelhaft inte- 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w:t>
      </w:r>
    </w:p>
    <w:p>
      <w:r>
        <w:rPr>
          <w:b/>
        </w:rPr>
        <w:t>E. 4.3.1</w:t>
      </w:r>
    </w:p>
    <w:p>
      <w:r>
        <w:t>Gemäss Art. 63 Abs. 2 i.V.m. Art. 58a Abs. 1 lit. a AIG liegt ein Rückstu- fungsgrund vor, wenn eine niederlassungsberechtigte ausländische Per- son das Integrationskriterium der Beachtung der öffentlichen Sicherheit und Ordnung nicht bzw. nicht mehr erfüllt.</w:t>
      </w:r>
    </w:p>
    <w:p>
      <w:r>
        <w:rPr>
          <w:b/>
        </w:rPr>
        <w:t>E. 4.3.2</w:t>
      </w:r>
    </w:p>
    <w:p>
      <w:r>
        <w:t>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w:t>
      </w:r>
    </w:p>
    <w:p>
      <w:r>
        <w:t>- 11 -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4.3.3.1</w:t>
      </w:r>
    </w:p>
    <w:p>
      <w:r>
        <w:t>Soweit aus den Akten ersichtlich, wurde der Beschwerdeführer nach In- krafttreten der Rückstufungsregelung von Art. 63 Abs. 2 AIG am 1. Januar 2019 nicht mehr straffällig. Den vom Beschwerdeführer erwirkten 28 Straf- erkenntnissen liegen Straftaten zugrunde, welche allesamt vor dem 1. Ja- nuar 2019 begangen wurden (vgl. vorne lit. A). Damit fehlt es an einem nach dem 1. Januar 2019 einschlägigen strafrechtlich relevanten Verhalten des Beschwerdeführers, welches als Anknüpfungspunkt für die Berück- sichtigung von Fehlverhalten nach Inkrafttreten von Art. 63 Abs. 2 AIG die- nen könnte (siehe vorne Erw. II/4.2.2). Daran ändert auch der Vorwurf der Vorinstanz nichts, der Beschwerdeführer habe eingestanden, Sozialver- sicherungs- und Unfallversicherungsabgaben sowie Quellensteuerabzüge nicht abgeliefert zu haben. Einerseits wurde das diesbezügliche Strafver- fahren eingestellt, andererseits ist nicht ersichtlich und legt die Vorinstanz nicht dar, inwiefern aus dem genannten Verhalten auf ein Integrationsdefizit geschlossen werden könnte.</w:t>
      </w:r>
    </w:p>
    <w:p>
      <w:r>
        <w:rPr>
          <w:b/>
        </w:rPr>
        <w:t>E. 4.3.3.2</w:t>
      </w:r>
    </w:p>
    <w:p>
      <w:r>
        <w:t>Der Beschwerdeführer ist hoch verschuldet. Gemäss dem Betreibungsre- gisterauszug des Regionalen Betreibungsamts R. vom 2. Juli 2021 waren zu diesem Zeitpunkt 105 nicht getilgte Verlustscheine über zusam- mengezählt rund Fr. 233'500.00 registriert, bei vier offenen Betreibungen von insgesamt rund Fr. 215'000.00 und sieben Forderungen mit laufender Pfändung über ursprünglich rund Fr. 52'600.00 (MI-act. 299 ff.). Vorab ist festzuhalten, dass es Aufgabe des MIKA ist, darzulegen, dass der Beschwerdeführer nach dem 1. Januar 2019 mutwillig Schuldenwirtschaft betrieben hat und dadurch ein Integrationsdefizit durch Nichtbeachten der öffentlichen Ordnung im Sinne von Art. 58a Abs. 1 lit. a AIG i.V.m. Art. 77a Abs. 1 lit. b VZAE besteht. Mit anderen Worten ist es Aufgabe des MIKA, das Vorliegen eines Rückstufungsgrundes nachzuweisen und kann bei Rückstufungen, welche erst seit dem 1. Januar 2019 zulässig sind, anders als bei der Prüfung von Widerrufsgründen (vgl. Entscheid des Verwaltungs- gerichts WBE.2022.479 vom 17. März 2023, Erw. II/2.2.1), nicht unbese- hen auf die Gesamtsumme der Betreibungen und Verlustscheine gemäss Betreibungsregisterauszug abgestellt werden. Vielmehr sind nur diejenigen Forderungen relevant, die auf einen Sachverhalt zurückgehen, welcher nach dem 1. Januar 2019 verwirklicht wurde. Nur wenn bei solchen Schul- den auf eine mutwillige Schuldenwirtschaft geschlossen werden kann, liegt</w:t>
      </w:r>
    </w:p>
    <w:p>
      <w:r>
        <w:t>- 13 - ein Rückstufungsgrund vor. Erst wenn dieser nachgewiesen wurde, ist im Rahmen der vorzunehmenden Interessenabwägung bei der Bemessung des öffentlichen Interesses auf früher erfolgte mutwillige Schuldenwirt- schaft abzustellen, da diese bereits unter altem Recht (d.h. unter dem bis Ende 2018 geltenden AuG) sanktioniert werden konnte und sich ein Be- troffener hinsichtlich der Bemessung des öffentlichen Interesses selbst dann nicht auf ein Kontinuitätsvertrauen berufen kann, wenn er mehr als 15 Jahre im Besitze der Niederlassungsbewilligung war, zumal bereits unter altem Recht der Widerruf der Niederlassungsbewilligung bei über 15- jährigem Aufenthalt in der Schweiz mit Niederlassungsbewilligung auf- grund mutwilliger Schuldenwirtschaft drohte (vgl. Entscheid des Verwal- tungsgerichts WBE.2020.200 vom 8. Dezember 2020, Erw. II/3.4.4.2.1). Im vorliegenden Fall legt die Vorinstanz nicht dar, dass Schulden des Be- schwerdeführers auf Sachverhalte zurückgehen, die nach dem 1. Januar 2019 verwirklicht wurden und bei denen dem Beschwerdeführer mutwillige Schuldenwirtschaft vorgeworfen werden kann. Solche ergeben sich auch nicht aus den Akten. Gemäss Betreibungsregisterauszug vom 2. Juli 2021 sind auf den Be- schwerdeführer seit dem 1. Januar 2019 Verlustscheine in der Höhe von rund Fr. 33'500.00 registriert. Der letzte Verlustschein datiert vom 15. Ja- nuar 2020. Mit Blick auf die notwendigen Verfahrensschritte, welche bis zur Ausstellung eines definitiven Verlustscheins notwendig sind (insbesondere Mahnung der Forderung und Durchführung eines Betreibungsverfahrens), erscheint aufgrund der hierfür benötigen Zeit fraglich, ob den registrierten Verlustscheinen Sachverhalte zugrunde liegen, welche sich nach dem 1. Januar 2019 verwirklicht haben. Das Datum eines Betreibungs- registereintrags für sich allein, insbesondere, wenn dieses – wie vorliegend – zeitlich nah beim 1. Januar 2019 liegt, vermag nicht ohne Weiteres ein nach dem 1. Januar 2019 verwirklichtes desintegriertes Verhalten zu be- gründen. Die Vorinstanz legt auch nicht dar, dass den registrierten Verlust- scheinen ein nach dem 1. Januar 2019 verwirklichter Sachverhalt, welcher auf ein desintegriertes Verhalten schliessen lässt, zugrunde liegt. Weiter sind auf dem Betreibungsregisterauszug ab 13. Februar 2020 Pfän- dungen in der Höhe von insgesamt rund Fr. 52'600.00 vermerkt, die wohl zumindest teilweise auf Schulden zurückgehen, welche sich nach dem 1. Januar 2019 verwirklicht haben dürften. Inwiefern dem Beschwerdefüh- rer jedoch bezüglich dieser Schulden mutwillige Schuldenwirtschaft vorge- worfen werden könnte, geht aus den Akten nicht hervor und wird durch die Vorinstanz auch nicht dargelegt. Diesbezüglich kann deshalb ebenfalls nicht auf das Vorliegen eines Rückstufungsgrundes geschlossen werden. Bezüglich der als "Betreibung eingeleitet" notierten Forderung der Konkurs- masse der B. AG über rund Fr. 209'200.00 ist Folgendes festzuhalten:</w:t>
      </w:r>
    </w:p>
    <w:p>
      <w:r>
        <w:t>- 14 - Gemäss den Aussagen des Beschwerdeführers hatte er im Sommer 2018 von einem Dritten die Aktien einer Gesellschaft übernommen und dabei nicht realisiert, dass das Aktienkapital nicht einbezahlt worden war. Was die finanziellen Angelegenheiten anbelangt, verliess er sich auf die Aussagen des Buchhalters, welcher bereits zuvor für die Gesellschaft tätig gewesen war. Da der Beschwerdeführer in Personalunion Verwaltungsrat und Geschäftsführer der genannten Gesellschaft war, wurde er, nachdem im Jahr 2020 über die Gesellschaft der Konkurs eröffnet worden war, durch die Konkursverwaltung sowohl bezüglich des nicht einbezahlten Aktienka- pitals als auch bezüglich weiterer Forderungen auf insgesamt rund Fr. 209'200.00 betrieben (act. 44 ff.). Ob und welcher Teil der Forderung auf einen Sachverhalt zurückgeht, der nach dem 1. Januar 2019 verwirk- licht wurde, geht weder aus den Akten hervor noch wird dies durch die Vorinstanz dargelegt. Gleiches gilt für die Frage, inwiefern dem Beschwer- deführer Mutwilligkeit bezüglich der Entstehung der Forderung vorgewor- fen werden kann. Das gesamte Verhalten des Beschwerdeführers deutet vielmehr auf Unfähigkeit und Unvermögen hin, ein eigenes Geschäft zu führen, und zeugt eben nicht von einem mit Absicht, Böswilligkeit oder qua- lifizierter Fahrlässigkeit getragenen Verhalten (siehe vorne Erw. II/4.3.2). Inwiefern sodann pandemiebedingte Umstände zum Konkurs geführt, oder ob der Beschwerdeführer effektiv irrtümlich keinen Rechtsvorschlag erho- ben hatte, kann dahingestellt bleiben. Unter diesen Umständen liegt auch mit Blick auf die sehr hohe Forderung der Konkursverwaltung kein Rück- stufungsgrund vor. Nach dem Gesagten ist festzuhalten, dass der Beschwerdeführer zwar ge- mäss dem Betreibungsregisterauszug vom 2. Juli 2021 Schulden aufweist, indessen von der Vorinstanz nicht dargelegt wurde, dass diese auf nach dem 1. Januar 2019 verwirklichte Sachverhalte zurückzuführen sind. Zu- dem legt die Vorinstanz nicht dar, inwiefern dem Beschwerdeführer mutwil- lige Schuldenwirtschaft vorzuwerfen ist.</w:t>
      </w:r>
    </w:p>
    <w:p>
      <w:r>
        <w:rPr>
          <w:b/>
        </w:rPr>
        <w:t>E. 4.3.4</w:t>
      </w:r>
    </w:p>
    <w:p>
      <w:r>
        <w:t>Zusammenfassend liegt kein hinreichend gewichtiges, aktuelles Integra- tionsdefizit vor und ist der Rückstufungsgrund der Nichtbeachtung der öffentlichen Sicherheit und Ordnung im Sinne von Art. 63 Abs. 2 i.V.m. Art. 58a Abs. 1 lit. a AIG nicht erfüllt und erweist sich die Rückstufung als unzulässig. 5. Gleiches gilt für die Anordnung einer Verwarnung unter Androhung der Rückstufung, da diese gemäss Art. 96 Abs. 2 AIG ebenfalls das Vorliegen eines Rückstufungsgrundes voraussetzen würde.</w:t>
      </w:r>
    </w:p>
    <w:p>
      <w:r>
        <w:t>- 15 - 6.</w:t>
      </w:r>
    </w:p>
    <w:p>
      <w:r>
        <w:rPr>
          <w:b/>
        </w:rPr>
        <w:t>E. 6</w:t>
      </w:r>
    </w:p>
    <w:p>
      <w:r>
        <w:t>Januar 2022 aufforderungsgemäss die Akten ein (act. 26). Am 13. Januar 2022 ging beim Verwaltungsgericht eine Einstellungsverfü- gung der Staatsanwaltschaft Zürich-Sihl vom 23. Dezember 2021 betref- fend Betrug ein (act. 27 ff.). Dieser ist zu entnehmen, dass der Beschwer- deführer in Personalunion Verwaltungsrat, Geschäftsführer und Mitarbeiter der ihm selbst gehörenden B. AG war. In dieser Funktion hatte er einen COVID-19-Kredit beantragt und erhalten. Aufgrund eines Verdachts, dass der Beschwerdeführer den Kredit nicht für geschäftliche Zwecke verwendet habe, indem er die von den Bruttolöhnen abgezogenen Sozialver- sicherungsbeiträge, SUVA-Unfallversicherungsbeiträge und Quellen- steuern nicht bestimmungsgemäss abgeliefert habe, wurde gegen ihn eine Strafuntersuchung eingeleitet. Nachdem sich aus den Ermittlungen keine Hinweise ergaben, dass der Beschwerdeführer den Kredit für private Zwecke verwendet hatte, wurde das Strafverfahren eingestellt. Die Vorinstanz erstattete mit Eingabe vom 20. Januar 2022 Beschwerde- antwort und ersuchte um Beizug der Strafakten (act. 32). Mit Verfügung vom 26. Januar 2022 wurden die Strafakten der Staatsanwaltschaft Zürich- Sihl beigezogen (act. 34). Der Beschwerdeführer nahm mit Eingabe 13. April 2022 zur Beschwerdeantwort der Vorinstanz und den beigezoge- nen Strafakten Stellung (act. 41 ff.). Die Vorinstanz liess sich weder zur Eingabe des Beschwerdeführers noch zu den Strafakten vernehmen. Im Hinblick auf den Abschluss des Verfahrens wurde den Parteien mit Ver- fügung vom 17. April 2023 Gelegenheit gegeben, allfällige Sachverhaltser- gänzungen mitzuteilen und entsprechende Belege einzureichen, wovon diese jedoch keinen Gebrauch machten. Das Verwaltungsgericht hat den fall auf dem Zirkularweg entschieden (vgl. § 7 des Gerichtsorganisationsgesetzes vom 6. Dezember 2011 [GOG; SAR 155.200]).</w:t>
      </w:r>
    </w:p>
    <w:p>
      <w:r>
        <w:t>- 5 -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3. November 2021.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 besondere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w:t>
      </w:r>
    </w:p>
    <w:p>
      <w:r>
        <w:t>- 6 - II. 1. 1.1. Die Vorinstanz hält im angefochtenen Entscheid im Wesentlichen fest, auf- grund der zahlreichen strafrechtlichen Verurteilungen über einen längeren Zeitraum, welche immer gravierendere Delikte betroffen hätten, der Delikts- arten und des kumulierten Strafmasses sei klar von einer ausgeprägten Geringschätzung und Respektlosigkeit gegenüber der schweizerischen Rechtsordnung auszugehen. Bereits damit sei der Rückstufungsgrund der Nichtbeachtung der öffentlichen Sicherheit und Ordnung erfüllt. Die Be- gründung der Einstellungsverfügung der Staatsanwaltschaft Zürich-Sihl enthalte sodann Anhaltspunkte, die für ein beim Beschwerdeführer be- stehendes, auch nach dem 1. Januar 2019 fortdauerndes Integrationsdefi- zit sprechen würden. So habe der Beschwerdeführer in den Jahren 2019 und 2020 die Sozialabgaben seiner Mitarbeiter nicht weitergeleitet, was er anlässlich des Strafverfahrens auch eingestanden habe. Hinzu komme die hohe Verschuldung des Beschwerdeführers. Auch Jahre nach der Verwar- nung sei der Beschwerdeführer seinen finanziellen Verpflichtungen nicht nachgekommen und habe weiterhin Schulden angehäuft. Anstrengungen zur Schuldensanierung seien nicht ersichtlich. Die Verschuldung sei dem Beschwerdeführer qualifiziert vorwerfbar und er habe diese mutwillig her- beigeführt. An dieser Ausgangslage würde der vom Beschwerdeführer gel- tend gemachte Drogenkonsum nichts ändern. Darin sei ebenfalls ein Grund für eine Rückstufung zu erblicken. Aufgrund der Straffälligkeit und der mut- willigen Verschuldung bestehe somit ein grosses öffentliches Interesse, den Beschwerdeführer zurückzustufen. Demgegenüber sei dessen priva- tes Interesse am Verzicht auf eine Rückstufung von untergeordneter Be- deutung, zumal er sich weiterhin in der Schweiz aufhalten dürfe. 1.2. Der Beschwerdeführer bringt dagegen vor, die der letzten strafrechtlichen Verurteilung zugrundeliegenden Delikte seien vor dem 1. Januar 2019 be- gangen worden. Es bestehe daher kein aktuelles hinreichend gewichtiges Integrationsdefizit mehr. Darüber hinaus erweise sich eine Rückstufung als unverhältnismässig. Der Beschwerdeführer lebe seit 35 Jahren in der Schweiz und sei seit 31 Jahren im Besitz einer Niederlassungsbewilligung. Er sei angestellt, unterliege einer Lohnpfändung, habe Abzahlungsverein- barungen getroffen und bemühe sich nach Kräften seine Schulden abzu- bauen und neue zu verhindern. Abgesehen von seinen finanziellen Schwie- rigkeiten sei er voll integriert und spreche Schweizerdeutsch. Die Rückstu- fung verletze das Übermassverbot und die Integrationspflicht lasse sich ebenso gut mit einer Verwarnung erreichen. Dies zumal die erste und bis- lang einzige ausländerrechtliche Verwarnung bereits über 12 Jahre zurück- liege. Was die Einstellungsverfügung der Staatsanwaltschaft Zürich-Sihl vom 23. Dezember 2021 und die diesbezüglichen Strafakten anbelange, sei zunächst festzuhalten, dass der Beschwerdeführer strafrechtlich nicht</w:t>
      </w:r>
    </w:p>
    <w:p>
      <w:r>
        <w:t>- 7 - verurteilt worden sei. Anhand der Einvernahmeprotokolle lasse sich sodann feststellen, dass der Beschwerdeführer den erhaltenen COVID-19-Kredit zur Bezahlung der Löhne seiner Mitarbeiter verwendet habe und aufgrund der Pandemie über zu wenig finanzielle Mittel verfügt habe, um auch die Sozialabgaben zu bezahlen. Er habe die Absicht, diese ausstehenden Be- träge nachzuzahlen und nehme seine Verantwortung in der Gesellschaft war. Nach dem Gesagten könne nicht auf ein aktuelles Integrationsdefizit geschlossen werden. 2.</w:t>
      </w:r>
    </w:p>
    <w:p>
      <w:r>
        <w:rPr>
          <w:b/>
        </w:rPr>
        <w:t>E. 6.1</w:t>
      </w:r>
    </w:p>
    <w:p>
      <w:r>
        <w:t>Zeigt sich, dass weder die Voraussetzungen für die Verfügung einer Rück- stufung noch für deren förmliche Androhung mittels Verwarnung erfüllt sind, steht es dem MIKA – und im Rahmen des Beschwerdeverfahrens ebenso dem Verwaltungsgericht – dennoch frei, eine ausländische Person zur Änderung oder Beibehaltung eines bestimmten Verhaltens zu ermahnen und sie auf die andernfalls zu erwartenden migrationsrechtlichen Folgen aufmerksam zu machen. Eine solche Ermahnung kann im Gegensatz zur Verwarnung im Sinne von Art. 96 Abs. 2 AIG formlos ergehen, d.h. sie muss nicht anfechtbar verfügt oder entschieden werden (vgl. BENJAMIN SCHINDLER, a.a.O., N. 22 zu Art. 96).</w:t>
      </w:r>
    </w:p>
    <w:p>
      <w:r>
        <w:rPr>
          <w:b/>
        </w:rPr>
        <w:t>E. 6.2</w:t>
      </w:r>
    </w:p>
    <w:p>
      <w:r>
        <w:t>Vorliegend erweist sich die förmliche Verwarnung des Beschwerdeführers unter Androhung der Rückstufung als unzulässig. Gleichwohl besteht beim Beschwerdeführer – insbesondere in wirtschaftlicher Hinsicht – die Gefahr, dass bei ihm künftige Integrationsdefizite auftreten könnten, sollte er in alte Verhaltensmuster zurückfallen. Er ist deshalb nachdrücklich anzuhalten, sich gänzlich rechtskonform zu verhalten, nicht über seinen Verhältnissen zu leben, d.h. seine Ausgaben unter Berücksichtigung der Rückzahlung bestehender Schulden an sein Erwerbseinkommen anzupassen und seinen finanziellen Verpflichtungen vollständig nachzukommen, ansonsten es dem MIKA freistünde, seinen Aufenthaltsstatus zu gegebenem Zeitpunkt erneut in Frage zu stellen. Vor diesem Hintergrund drängt sich eine form- lose Ermahnung des Beschwerdeführers geradezu auf. 7. Nach dem Gesagten erweist sich die Rückstufung des Beschwerdeführers als unzulässig, weshalb die Beschwerde gutzuheissen und der Einsprache- entscheid vom 3. November 2021 aufzuheben ist. Der Beschwerdeführer wird ermahnt, inskünftig weiterhin straffrei zu blei- ben und seinen öffentlich-rechtlichen wie privatrechtlichen Verpflichtungen nachzukommen, ansonsten er – grundsätzlich und in den Schranken der Verhältnismässigkeit – mit dem Widerruf seiner Niederlassungsbewilligung unter ersatzweiser Erteilung einer Aufenthaltsbewilligung zu rechnen hat. III. 1. Gemäss § 31 Abs. 2 VRPG werden die Verfahrenskosten in der Regel nach Massgabe des Unterliegens und Obsiegens auf die Parteien verlegt. Gleiches gilt gemäss § 32 Abs. 2 VRPG für die Parteikosten.</w:t>
      </w:r>
    </w:p>
    <w:p>
      <w:r>
        <w:t>- 16 - 2.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weitere Eingaben notwendig waren je- doch keine Verhandlung durchgeführt wurde, rechtfertigt es sich, die Ent- schädigung auf Fr. 3'500.00 (inkl. Auslagen und MwSt.) festzusetzen. Das MIKA ist dementsprechend anzuweisen, dem Beschwerdeführer die Par- teikosten in besagter Höhe zu ersetzen. Das Verwaltungsgericht erkennt:</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zum Widerrufsgrund von Art. 63 Abs. 1 lit. b AIG kann das Bestehen von Schulden für sich allein genommen einen schwerwiegenden Verstoss gegen die öffentliche Ord- nung darstellen, wenn die Verschuldung mutwillig erfolgt ist (zum Erforder- nis der Mutwilligkeit Urteil des Bundesgerichts 2C_573/2019 vom 14. April 2020, Erw. 2 f.; Marco Weiss, Widerruf der Niederlassungs- oder Aufent- haltsbewilligung aufgrund von Schuldenwirtschaft, in: Aktuelle Juristische Praxis [AJP] 2020, S. 356 ff., 358 f. mit Hinweisen; Entscheid des Verwal- tungsgerichts WBE.2021.298 vom 28. März 2022, Erw. II/5.2.3.1). Bei mut- williger Anhäufung von Schulden kann somit umso mehr auch eine blosse Nichtbeachtung der öffentlichen Ordnung im Sinne von Art. 58a Abs. 1 lit. a AIG vorliegen (vgl. Botschaft AIG, BBl 2013 2397 ff., 2427; vgl. zum Gan- zen Entscheid des Verwaltungsgerichts WBE.2020.8 vom 7. Juli 2020, Erw. II/4.1.2). Mutwilligkeit setzt jedoch ein von Absicht, Böswilligkeit oder qualifizierter Fahrlässigkeit getragenes Verhalten voraus (Urteil 2C_789/2017 vom 7. März 2018 E. 3.3.1)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w:t>
      </w:r>
    </w:p>
    <w:p>
      <w:r>
        <w:t>- 12 -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