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WBE.2021.425 vom 2. März 2022</w:t>
      </w:r>
    </w:p>
    <w:p>
      <w:r>
        <w:t>AG Verwaltungsgericht, 2022-03-02, DE</w:t>
      </w:r>
    </w:p>
    <w:p>
      <w:r>
        <w:rPr>
          <w:b/>
        </w:rPr>
        <w:t xml:space="preserve">Quelle: </w:t>
      </w:r>
      <w:r>
        <w:t>https://mcp.opencaselaw.ch/entscheid/ag_verwaltungsgericht_WBE.2021.425</w:t>
      </w:r>
    </w:p>
    <w:p>
      <w:r>
        <w:t>FR: AG_VERWALTUNGSGERICHT WBE.2021.425 du 2 mars 2022</w:t>
      </w:r>
    </w:p>
    <w:p>
      <w:r>
        <w:t>IT: AG_VERWALTUNGSGERICHT WBE.2021.425 del 2 marzo 2022</w:t>
      </w:r>
    </w:p>
    <w:p>
      <w:pPr>
        <w:pStyle w:val="Heading2"/>
      </w:pPr>
      <w:r>
        <w:t>Erwägungen</w:t>
      </w:r>
    </w:p>
    <w:p>
      <w:r>
        <w:rPr>
          <w:b/>
        </w:rPr>
        <w:t>E. 2</w:t>
      </w:r>
    </w:p>
    <w:p>
      <w:r>
        <w:t>Der Gemeinderat X. schloss in seiner Beschwerdeantwort vom 6. De- zember 2021 auf Nichteintreten auf die Beschwerde, eventualiter auf deren Abweisung; das DVI, Gemeindeabteilung, beantragte am 9. Dezember 2021, die Beschwerde abzuweisen.</w:t>
      </w:r>
    </w:p>
    <w:p>
      <w:r>
        <w:rPr>
          <w:b/>
        </w:rPr>
        <w:t>E. 3</w:t>
      </w:r>
    </w:p>
    <w:p>
      <w:r>
        <w:t>Streitgegenstand bildet vorliegend einzig die Frage, ob das DVI, Gemein- deabteilung, auf die Gemeindebeschwerde zurecht nicht eingetreten ist. Nicht einzugehen ist auf die materielle Rechtslage betreffend die Zulässig- keit des Vorgehens des Gemeinderats (statt vieler: Urteil des Bundesge- richts 2C_499/2020 vom 25. September 2020, Erw. 3). Im Falle der Gut- heissung der Beschwerde wird der vorinstanzliche Entscheid aufgehoben und das DVI, Gemeindeabteilung angewiesen, auf die Gemeindebe- schwerde einzutreten. Auf die Beschwerde ist nicht einzutreten, soweit die Beschwerdeführer damit eine materielle Behandlung der Angelegenheit und der Sache nach auch eine Anweisung an den Gemeinderat verlangen, die Finanzierung des Projekts Hauptverkehrsachse K aaa Y.-Strasse, soweit diese durch die Einwohnergemeinde X. getragen werden soll, der Gemeindeversammlung vorzulegen.</w:t>
      </w:r>
    </w:p>
    <w:p>
      <w:r>
        <w:t>- 5 - II. 1. Gemeindebeschwerde können gemäss § 106 Abs. 1 GG "innert 10 Tagen seit Veröffentlichung" des infrage stehenden allgemein verbindlichen Erlas- ses oder Verwaltungsakts, der nicht in persönliche Verhältnisse eingreift, erhoben werden. Wie die Vorinstanz zutreffend feststellte, gilt diese Rege- lung für den Fall, dass eine Unterlassung einer Gemeinde, eines Gemein- deverbandes oder einer anderen öffentlich-rechtlichen Körperschaft ange- fochten wird, sinngemäss, d.h. die Zehntagesfrist beginnt mit Kenntnis der entsprechenden Unterlassung. 1.1. Die Vorinstanz ist zur Auffassung gelangt, die zehntägige Frist gemäss § 106 Abs. 1 GG sei hier nicht eingehalten: Die beanstandete Unterlassung datiere vom 29. Juni 2020. In der Eingabe vom 18. Juni 2021 werde sodann geltend gemacht, die Beschwerdeführer hätten erst seit Januar 2021, mit Veröffentlichung des Anhörungsberichts des BVU, Kenntnis von der Unter- lassung des Gemeinderats erhalten. Damit sei mit der am 18. April 2021 erhobenen Beschwerde die Zehntagesfrist von § 106 Abs. 1 GG klar nicht eingehalten, weshalb auf die Eingabe als Gemeindebeschwerde nicht ein- getreten werden könne. 1.2. Während in der Eingabe vom 18. Juni 2021 noch ausgeführt wurde, F. bzw. die unter dieser Bezeichnung auftretenden Stimmbürgerinnen und Stimmbürger hätten "erst seit Januar 2021, mit Veröffentlichung des Anhö- rungsberichtes zum Projekt Y.-Strasse K aaa des DVBU, Kenntnis", findet sich in der dem Verwaltungsgericht eingereichten Beschwerdeschrift lediglich der Hinweis, die Stimmbürgerinnen und Stimmbürger hätten gar keine Kenntnisse über die gefällten Gemeinderatsbeschlüsse gehabt. Auch F. habe rein zufällig und erst viel später davon Kenntnis erhalten (Be- schwerdeschrift, S. 2 Ziff. 3.1 am Ende). 2. Mit den Ausführungen in der Beschwerdeschrift wird nicht geltend gemacht geschweige denn nachgewiesen, dass die Ausführungen im angefochte- nen Entscheid – welche sich wiederum auf Angaben in der Eingabe vom 18. April 2021 stützen, wonach die Beschwerdeführer im Januar 2021 Kenntnis von der beanstandeten Unterlassung des Gemeinderats erlangt hätten – in tatsächlicher Hinsicht falsch sind. Auch aus der vagen Angabe der Beschwerdeführer, sie hätten "rein zufällig und erst viel später" Kennt- nis von der Unterlassung des Gemeinderats erhalten, lässt sich nicht etwa ableiten, dass die Beschwerdeführer erst kurz (d.h. maximal 10 Tage) vor Einreichung der Eingabe vom 18. April 2021 (Kenntnis von der beanstan- deten Unterlassung Kenntnis erhalten haben. Vielmehr sind sie mangels</w:t>
      </w:r>
    </w:p>
    <w:p>
      <w:r>
        <w:t>- 6 - anderer Angaben dabei zu behaften, dass sie ca. im Januar 2021 Kenntnis vom Beschluss des Gemeinderats erhielten, der denn auch im Anhörungs- bericht (Anhörungsbericht, S. 20 unten) ausdrücklich erwähnt ist. Die Fest- stellung im angefochtenen Entscheid, wonach die Gemeindebeschwerde nicht innert der gesetzlichen Beschwerdefrist 10 Tagen gemäss § 106 Abs. 1 GG eingereicht wurde, ist damit nicht zu beanstanden. Dies führt, da es sich bei der gesetzlichen Beschwerdefrist um eine Gültigkeitsfrist handelt, d.h. mangels deren Einhaltung nicht auf eine Gemeinde- beschwerde eingetreten werden darf, zur Abweisung der Verwaltungs- gerichtsbeschwerde, zumal die Beschwerdeführer auch nicht etwa geltend machen, es habe bei einem oder mehreren von ihnen ein Grund für eine Wiederherstellung der Beschwerdefrist (§ 28 Abs. 1 VRPG i.V.m. Art. 148 Abs. 1 und 2 der Schweizerischen Zivilprozessordnung vom 19. Dezember 2008 [ZPO; SR 272]) vorgelegen. III. Entsprechend dem Verfahrensausgang sind die Kosten des verwaltungs- gerichtlichen Verfahrens den Beschwerdeführer aufzuerlegen (§ 31 Abs. 2 VRPG), wobei solidarische Haftung anzuordnen ist (§ 33 Abs. 3 VRPG). Parteikostenersatz fällt ausser Betracht (§ 32 Abs. 2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