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WBE.2021.406 vom 22. Juni 2022</w:t>
      </w:r>
    </w:p>
    <w:p>
      <w:r>
        <w:t>AG Verwaltungsgericht, 2022-06-22, DE</w:t>
      </w:r>
    </w:p>
    <w:p>
      <w:r>
        <w:rPr>
          <w:b/>
        </w:rPr>
        <w:t xml:space="preserve">Quelle: </w:t>
      </w:r>
      <w:r>
        <w:t>https://mcp.opencaselaw.ch/entscheid/ag_verwaltungsgericht_WBE.2021.406</w:t>
      </w:r>
    </w:p>
    <w:p>
      <w:r>
        <w:t>FR: AG_VERWALTUNGSGERICHT WBE.2021.406 du 22 juin 2022</w:t>
      </w:r>
    </w:p>
    <w:p>
      <w:r>
        <w:t>IT: AG_VERWALTUNGSGERICHT WBE.2021.406 del 22 giugno 2022</w:t>
      </w:r>
    </w:p>
    <w:p>
      <w:pPr>
        <w:pStyle w:val="Heading2"/>
      </w:pPr>
      <w:r>
        <w:t>Erwägungen</w:t>
      </w:r>
    </w:p>
    <w:p>
      <w:r>
        <w:rPr>
          <w:b/>
        </w:rPr>
        <w:t>E. 3</w:t>
      </w:r>
    </w:p>
    <w:p>
      <w:r>
        <w:t>Das Stadtbauamt wird mit dem weiteren Vollzug beauftragt.</w:t>
      </w:r>
    </w:p>
    <w:p>
      <w:r>
        <w:rPr>
          <w:b/>
        </w:rPr>
        <w:t>E. 4</w:t>
      </w:r>
    </w:p>
    <w:p>
      <w:r>
        <w:t>Die weiteren Sachurteilsvoraussetzungen geben zu keinen Bemerkungen Anlass. Auf die frist- und formgerecht eingereichte Beschwerde ist mit der vorerwähnten Ausnahme eines Teils von Antrag 1 der Beschwerde einzutreten.</w:t>
      </w:r>
    </w:p>
    <w:p>
      <w:r>
        <w:rPr>
          <w:b/>
        </w:rPr>
        <w:t>E. 4.1</w:t>
      </w:r>
    </w:p>
    <w:p>
      <w:r>
        <w:t>Der Beschwerdeführer übersieht bei seiner Argumentation, dass die Vorin- stanz die Frage nach dem Vorliegen von baubewilligungspflichtigen Ände- rungen bewusst und aus prozessualen Gründen nicht beurteilt hat, in der Annahme, dass diese Frage im vom Gemeinderat (vom Amtes wegen) ein- zuleitenden nachträglichen Baubewilligungsverfahren zu klären sein wird und danach zusammen mit dem Endentscheid des Gemeinderats über die Baubewilligungspflicht und die Bewilligungsfähigkeit allfälliger baulicher</w:t>
      </w:r>
    </w:p>
    <w:p>
      <w:r>
        <w:t>- 10 - Änderungen oder Nutzungsänderungen der Rechtsmittelinstanz zur Beur- teilung unterbreitet werden kann. Die vom Beschwerdeführer zitierte bun- desgerichtliche Rechtsprechung ist für die sich hier stellende Rechtsfrage der selbständigen Anfechtbarkeit eines verfahrensleitenden Zwischenent- scheids insofern nicht einschlägig, als in jenen Fällen jeweils ein Endent- scheid zu beurteilen war. Entweder wurde die Baubewilligungspflicht (von der ersten Instanz) jeweils definitiv verneint (BGE 139 II 134 sowie Urteil 1C_325/2016 vom 25. November 2016) oder mit der Verpflichtung zur Ein- reichung eines nachträglichen Baugesuchs war ein anderer Endentscheid (Baustopp) verbunden, der nicht im Rahmen eines laufenden Verfahrens angeordnet wurde (Urteil 1C_51/2015 vom 8. April 2015, insb. Erw. 1.1). Nur dem BGE 135 II 30 lag mit einem sog. baurechtlichen Vorentscheid eine vergleichbare prozessuale Konstellation mit der hier vorliegenden zu- grunde. Dort prüfte denn das Bundesgericht auch einlässlich, ob dem Bau- herrn ein nicht wiedergutzumachender Nachteil erwächst, wenn der Vorent- scheid nicht separat, sondern erst mit dem Endentscheid über die Bewilli- gungsfähigkeit des gesamten Projekts angefochten werden kann. Das Bun- desgericht bejahte den nicht wiedergutzumachenden Nachteil mit der Be- gründung, der Baugesuchsteller müsste auf der Basis eines reduzierten Waldabstandes (was eine Ausnahmebewilligung erfordert, die Gegenstand jenes Vorentscheids bildete) eine Detailprojektierung und -planung vorneh- men, welche sich im Falle der allfälligen späteren Gutheissung einer Be- schwerde gegen den heute angefochtenen Zwischenentscheid (auf Fest- stellung der Zulässigkeit der Unterschreitung des Waldabstandes) als wert- los erweisen würde. Unter dem Gesichtspunkt der Rechtssicherheit sei es in dieser Situation nicht zu rechtfertigen, die im angefochtenen baurechtli- chen Vorentscheid bewilligte Unterschreitung des Waldabstands durch eines der projektierten Gebäude im bundesgerichtlichen Verfahren nicht zu behandeln. Dabei gilt es sich vor Augen zu halten, dass die bundesgerichtliche Recht- sprechung vor allem in jüngerer Zeit hohe Anforderungen an den nicht wie- dergutzumachenden Nachteil stellt und entsprechend die selbständige Anfechtbarkeit von Zwischenentscheiden nur restriktiv befürwortet (vgl. dazu etwa das Urteil 1C_56/2020 vom 18. März 2020, wo dafürgehalten wurde, die Einreichung eines nachträglichen Baugesuchs für einen Zaun sei nicht mit einem nicht wiedergutzumachenden Nachteil verbunden, jedenfalls sei ein solcher nicht dargelegt worden und auch nicht ersicht- lich; vgl. auch die Urteile 1C_423/2021 vom 16. Dezember 2021 oder 1C_18/2020 vom 29. Januar 2020). Demgegenüber hatte das Bundesge- richt die Verpflichtung zur Einreichung eines nachträglichen Baugesuchs für eine Thujabepflanzung in einem etwas älteren Entscheid noch nicht als Zwischenentscheid qualifiziert, der nur durch Nachweis eines nicht wieder- gutzumachenden Nachteils selbständig angefochten werden kann (Urteil</w:t>
      </w:r>
    </w:p>
    <w:p>
      <w:r>
        <w:t>- 11 - 1C_424/2016 vom 27. März 2017). Bemerkenswert ist in diesem Zusam- menhang sodann, dass den Gemeinden vom Bundesgericht grundsätzlich nicht zugemutet wird, gegen ihren Willen ein nachträgliches Baubewilli- gungsverfahren für aus ihrer Sicht nicht baubewilligungspflichtige Mass- nahmen durchzuführen (Urteil 1C_162/2017 vom 4. September 2017, Erw. 1 mit Hinweisen), der betroffenen Privatperson, die sich einem Bau- bewilligungsverfahren unterziehen muss und dafür unter Umständen ähnli- che Umtriebe wie die Baubehörde hat, hingegen je nach Ausgangslage schon. Die restriktivere neuere Praxis des Bundesgerichts dient unter an- derem dem Ziel, das Bundesgericht zu entlasten, indem es nicht mehrfach mit der gleichen Sache befasst werden soll (Urteil 1C_177/2019 vom 8. Oktober 2019, Erw. 1.2). Für kantonale Rechtsmittel sind die diesbezüg- lichen Hürden in der Regel weniger hoch (MICHEL DAUM, in: Kommentar zum Gesetz über die Verwaltungsrechtspflege des Kantons Bern, 2. Auflage, Bern 2020, Art. 61 N 37; MARTIN BERTSCHI, in: Kommentar zum Verwaltungsrechtspflegegesetz des Kantons Zürich [Kommentar VRG], 3. Auflage, Zürich/Basel/Genf 2014, § 19a N 9 und 45).</w:t>
      </w:r>
    </w:p>
    <w:p>
      <w:r>
        <w:rPr>
          <w:b/>
        </w:rPr>
        <w:t>E. 4.2</w:t>
      </w:r>
    </w:p>
    <w:p>
      <w:r>
        <w:t>Dass sich der Beschwerdeführer erst mit der Anfechtung eines nach Durch- führung des nachträglichen Baubewilligungsverfahrens ergehenden End- entscheids des Gemeinderats zur Frage der Baubewilligungspflicht und nicht schon direkt im Anschluss an die Aufforderung zur Einreichung eines nachträglichen Baugesuchs gegen eine behördlicherseits festgestellte Baubewilligungspflicht wehren kann, hält die Vorinstanz für zumutbar. Die Belastung durch das nachträgliche Bewilligungsverfahren an sich sei hin- nehmbar und dem Beschwerdeführer entstünden keine unnötigen Pla- nungskosten. Er könne sich der Einreichung eines nachträglichen Bauge- suchs verweigern, ohne dass sich die Verpflichtung real vollstrecken lasse. Immerhin scheint auch die Vorinstanz anzuerkennen, dass die Verweige- rung zur Einreichung des Baugesuchs für den Beschwerdeführer nicht ohne Konsequenzen bliebe, weil ihm gewisse Nachteile drohen könnten, wenn er seiner Mitwirkungspflicht nach § 23 VRPG nicht nachkommt. Die Einreichung eines nachträglichen Baugesuchs stellt zweifelsohne eine Mitwirkungshandlung dar, an deren Nichterfüllung die Nachteile einer ver- weigerten Mitwirkung im Sinne von § 23 Abs. 2 VRPG geknüpft werden können. Allerdings halten sich die möglichen Nachteile einer verweigerten Mitwir- kung in der vorliegenden Konstellation für den Beschwerdeführer in Gren- zen. Namentlich dürfte der Gemeinderat Q. nicht ohne weitere Abklärungen zur aktuellen gewerblichen Nutzung der Liegenschaft auf der streitbetroffenen Parzelle Nr. aaa (als Detailhandelsgeschäft) zu Unguns- ten des nicht kooperativen Beschwerdeführers darauf abstellen, dass sich die von seiner Darstellung abweichenden Behauptungen der Beschwerde-</w:t>
      </w:r>
    </w:p>
    <w:p>
      <w:r>
        <w:t>- 12 - gegner (zur Steigerung der Kundenfrequenz und zur Zunahme des Ver- kehrsaufkommens, zum Parkplatzmangel, zum Wildparkieren, zu ungenü- genden Abstellmöglichkeiten für den Zweiradverkehr, zu den Öffnungs- und Anlieferzeiten etc.) verwirklicht haben (KASPAR PLÜSS, in: Kommentar VRG, § 7 N 153). Der Vorinstanz ist darin zuzustimmen, dass der Sachver- halt insoweit von Amtes wegen mit den hierfür erforderlichen Beweismass- nahmen abgeklärt werden muss (vgl. AGVE 1993, S. 391). Zu den erfor- derlichen Beweismassnahmen gehört insbesondere eine Bestandesauf- nahme zu den inner- und ausserhalb der Gebäude auf der Parzelle Nr. aaa genutzten Verkaufs- und Lagerflächen, zu den effektiv genutzten Parkflächen für Personenwagen (der Kunden und des Personals) sowie zu den Manövrier- und Anhalteflächen für anliefernde Lastfahrzeuge, falls der Beschwerdeführer hierzu keine Pläne bzw. Baugesuchsunterlagen ein- reicht. Zu den Ladenöffnungszeiten kann der Beschwerdeführer ohnehin nur (die bereits erfolgten) Angaben machen, welche der Gemeinderat an- schliessend verifizieren muss. Entsprechende Nachforschungen müssen von Seiten der Gemeinde auch veranlasst werden, um verlässliche Anga- ben zur Abwicklung der Warenanlieferung und zum motorisierten Kunden- aufkommen zu erhalten. Der Hauptaufwand für die erforderlichen Abklärun- gen und Untersuchungen wird somit unabhängig davon, ob der Beschwer- deführer die Verpflichtung zur Einreichung eines Baugesuchs befolgt, auf Seiten der Gemeinde Q. anfallen. Dagegen nimmt sich der Pla- nungsaufwand für den Nachweis der gewerblich genutzten Flächen des vom Beschwerdeführer betriebenen Detailhandelsgeschäfts relativ be- scheiden aus. Damit muss nicht einmal notwendigerweise ein Architektur- büro beauftragt werden. Unter diesem Aspekt steht kaum zur Debatte, dass der Beschwerdeführer für die von ihm verlangten Abklärungen hohe Kosten zu gewärtigen hätte (vgl. DAUM, a.a.O., Art. 61 N 43) oder ihm eine finan- zielle Einbusse von erheblichem Gewicht drohen würde (vgl. BERTSCHI, a.a.O., § 19a N 51). Anordnungen über Beweismassnahmen haben in der Regel keinen voraussichtlich nicht behebbaren Nachteil zur Folge. Dassel- be gilt auch, wenn über Mitwirkungspflichten entschieden wird. Vorbehalten bleiben besondere Umstände, etwa ein drohender Eingriff in Grundrechte (Einschränkungen der persönlichen Freiheit, der Glaubens- und Gewis- sensfreiheit oder der Wirtschaftsfreiheit) oder die drohende Notwendigkeit existenzgefährdender finanzieller Aufwendungen (vgl. BERTSCHI, a.a.O., § 19a N 48 [S. 524]). Solche Umstände sind dem Vortrag des Beschwerdeführers nicht zu ent- nehmen. Er beruft sich auch nicht hinreichend konkret auf sonstige nicht wiedergutzumachenden Nachteile, die er erleidet, wenn er die Verpflich- tung zur Einreichung eines nachträglichen Baugesuchs nicht separat an- fechten, sondern erst mit der Beschwerde gegen den Endentscheid (Ertei- lung der Baubewilligung mit Kostenauflage oder Rückbauanordnungen bzw. Nutzungsbeschränkungen) geltend machen kann, es seien gar keine bewilligungspflichtigen baulichen Änderungen oder Nutzungsänderungen</w:t>
      </w:r>
    </w:p>
    <w:p>
      <w:r>
        <w:t>- 13 - erfolgt. Über die Rechtmässigkeit der Verpflichtung zur Einreichung (voll- ständiger) Baugesuchsunterlagen kann für gewöhnlich ohne irreversible Nachteile im Endentscheid befunden werden (AGVE 1993, S. 392). Gegen die Auferlegung von Kosten für die im nachträglichen Baubewilligungsver- fahren durchzuführenden Abklärungen und Untersuchungen könnte sich der Beschwerdeführer selbst im Falle einer Erteilung der Baubewilligung mit einer Beschwerde gegen den ihn belastenden Kostenentscheid weh- ren, mit dem Argument, eine Bewilligung für nicht bewilligungspflichtige Bauten und Nutzungen bringe ihm keinen Vorteil, Nutzen oder Mehrwert. Im Falle einer Abschreibung des Verfahrens zufolge Gegenstandslosigkeit (bei festgestelltem Fehlen von bewilligungspflichtigen Änderungen) könnte er – wie bereits von der Vorinstanz erwähnt – einwenden, er dürfe nicht mit den Kosten für ein sich als im Nachhinein als nutzlos erweisendes Verfah- ren belastet werden.</w:t>
      </w:r>
    </w:p>
    <w:p>
      <w:r>
        <w:rPr>
          <w:b/>
        </w:rPr>
        <w:t>E. 4.3</w:t>
      </w:r>
    </w:p>
    <w:p>
      <w:r>
        <w:t>Nicht stichhaltig ist die Argumentation des Beschwerdeführers, er könne erst nach Abklärung dessen, was bislang bewilligt worden sei, ein nach- trägliches Baugesuch einreichen, weshalb vorab anhand der von der Vor- instanz in Verletzung von § 45 Abs. 2 VRPG nicht eingeholten kommunalen Bauakten festgestellt werden müsse, was Gegenstand der bisher erteilten Baubewilligungen gewesen sei. Zur vom Gemeinderat Q. verfügten Erfassung des aktuellen baulichen Zustandes und der gegenwärtigen Nutzung des Geschäftslokals sind keine Kenntnisse des Inhalts von früher erteilten Baubewilligungen notwendig. Auf der Grundlage der vom Be- schwerdeführer geforderten planerischen Darstellung der derzeitigen Ver- kaufs- und Lager- sowie Park- und Anhalteflächen und der Angaben zu den Ladenöffnungszeiten, den Anlieferbedingungen und -zeiten und zum Kun- denaufkommen kann der Gemeinderat Q. alsdann im Rahmen des nachträglichen Baubewilligungsverfahrens durch den Vergleich mit den früheren Baugesuchsakten feststellen, ob und inwieweit der aktuelle bauliche Zustand und die gegenwärtige Nutzung von dem abweicht, was am 27. November 1958 (Baugesuch Nr. 1374 – 4/3), 27. Juli 1967 (Bauge- such Nr. 923 – 4/3), 25. Mai 1984 (Baugesuch Nr. 745 – 4/3), 17. August 1984 (Baugesuch Nr. 1134 – 4/3), 2. Juni 1988 (Baugesuch Nr. 899 – 4/3), 21. Juli 1998 (Baugesuch Nr. 64/98), 22. November 2010 (Baugesuch Nr. 2010-100), 29. Januar 2018 (Baugesuch Nr.2017-112) und 12. Februar 2018 (Baugesuch Nr. 2017-118) jeweils bewilligt wurde. Zu den Anlieferbedingungen und -zeiten und zum Kundenaufkommen wer- den die früheren Baugesuchsakten kaum aufschlussreich sein, weshalb diesbezüglich auf die zu den fraglichen Bewilligungszeitpunkten herrschen- den Umstände abgestellt und diese auf andere Art und Weise ermittelt wer- den müssen. Relativierend ist festzuhalten, dass eine Bewilligung für ein- zelne Bauteile, beispielsweise die Bewilligung für Firmenanschriften vom</w:t>
      </w:r>
    </w:p>
    <w:p>
      <w:r>
        <w:t>- 14 -</w:t>
      </w:r>
    </w:p>
    <w:p>
      <w:r>
        <w:rPr>
          <w:b/>
        </w:rPr>
        <w:t>E. 4.4</w:t>
      </w:r>
    </w:p>
    <w:p>
      <w:r>
        <w:t>Mit seinen Ausführungen auf S. 6 f. und 11 der Replik zur Beschwerde- antwort der Vorinstanz blendet der Beschwerdeführer erneut aus, dass er die für ihn nachteiligen Folgen aus einem allfälligen Entscheid, mit welchem das Vorliegen von baubewilligungspflichtigen Änderungen an seinem De- tailhandelsgeschäft bejaht würde, sehr wohl abwenden könnte, einfach nicht schon mit einer Beschwerde gegen die Verpflichtung zur Einreichung eines nachträglichen Baugesuchs, sondern erst mit einer solchen gegen einen Endentscheid des Gemeinderats Q., mit welchem ihm entweder eine Baubewilligung für bewilligungspflichtige Änderungen erteilt und die Kosten für ein aus seiner Sicht unnötiges Baubewilligungsverfahren auferlegt würden (was ihn zur Kostenbeschwerde berechtigen würde), oder mit welchem er zu einem Rückbau oder zu einer Nutzungsbeschränkung verpflichtet würde. Würden dagegen bewilligungspflichtige Änderungen verneint, was auch noch im vorliegenden Fall geschehen kann, falls der Gemeinderat aufgrund seiner Abklärungen im Rahmen des nachträglichen Baubewilligungsverfahrens zum Ergebnis gelangen sollte, dass keine nicht bereits bewilligten Änderungen vorgenommen wurden, wäre darin ein das Verfahren abschliessender Endentscheid zu erblicken, der im Gegensatz zu einem verfahrensleitenden Zwischenentscheid ohne weiteres angefoch- ten werden kann. Darin kann kein aleatorisches Element gesehen werden.</w:t>
      </w:r>
    </w:p>
    <w:p>
      <w:r>
        <w:t>- 15 -</w:t>
      </w:r>
    </w:p>
    <w:p>
      <w:r>
        <w:rPr>
          <w:b/>
        </w:rPr>
        <w:t>E. 4.5</w:t>
      </w:r>
    </w:p>
    <w:p>
      <w:r>
        <w:t>Zusammenfassend ist die Vorinstanz zu Recht nicht auf die Beschwerde gegen Dispositiv-Ziffer 1 des Beschlusses des Gemeinderats Q. vom</w:t>
      </w:r>
    </w:p>
    <w:p>
      <w:r>
        <w:rPr>
          <w:b/>
        </w:rPr>
        <w:t>E. 5</w:t>
      </w:r>
    </w:p>
    <w:p>
      <w:r>
        <w:t>Aufgrund des Prozesseintritts des Einzelunternehmens A. bzw. dessen Inhaber K., welcher den Betrieb des vom Beschluss des Gemeinderats Q. vom 17. Mai 2021 betroffenen Detailhandelsgeschäfts gemäss Handelsregisterauszug per 6. Januar 2022 übernommen hat, respektive den dadurch bewirkten Parteiwechsel kann zudem nicht gesagt werden, das schutzwürdige Interesse der (nunmehr) beschwerdeführenden Partei an der Anfechtung des Entscheids des BVU vom 30. September 2021 sei nachträglich weggefallen.</w:t>
      </w:r>
    </w:p>
    <w:p>
      <w:r>
        <w:rPr>
          <w:b/>
        </w:rPr>
        <w:t>E. 6</w:t>
      </w:r>
    </w:p>
    <w:p>
      <w:r>
        <w:t>Mit der Beschwerde ans Verwaltungsgericht können die unrichtige oder un- vollständige Feststellung des Sachverhalts sowie Rechtsverletzungen, ein- schliesslich Ermessensunter- oder -überschreitung sowie Ermessensmiss- brauch, gerügt werden (§ 55 Abs. 1 VRPG). Die Rüge der Unangemessen- heit ist im vorliegenden Fall nicht zulässig (Umkehrschluss aus § 55 Abs. 3 VRPG). II. 1. Der Streitgegenstand des vorliegenden Verfahrens beschränkt sich – wie erwähnt – auf die prozessuale Frage, ob die Vorinstanz auf das Begehren um Aufhebung der Anordnung des Gemeinderats Q. betreffend die Einleitung eines nachträglichen Baubewilligungsverfahrens mit Ver- pflichtung des Beschwerdeführers bzw. dessen Rechtsvorgänger zur Ein- reichung eines Baugesuchs nicht eintreten musste oder durfte.</w:t>
      </w:r>
    </w:p>
    <w:p>
      <w:r>
        <w:t>- 7 - 2. Die Vorinstanz gelangte zum Schluss, eine solche Anordnung stelle einen nicht selbständig anfechtbaren Zwischenentscheid dar. Mit der Aufforde- rung, ein nachträgliches Baugesuch einzureichen – so die Vorinstanz in Erw. 2.2 des angefochtenen Entscheids –, werde das Verfahren nicht ab- geschlossen. Eine derartige Verpflichtung sei ein verfahrensleitender Schritt auf dem Weg zum Endentscheid, mit welchem nach Einreichung des Baugesuchs über die Bewilligungspflicht und Bewilligungsfähigkeit des Gegenstands des Baugesuchs entschieden werde. Verfahrensleitende Zwischenentscheide seien gemäss Rechtsprechung des Verwaltungsge- richts (Aargauische Gerichts- und Verwaltungsentscheide [AGVE] 2014, S. 290) in der Regel nur zusammen mit dem Endentscheid anfechtbar. Anders sei ausnahmsweise dann zu entscheiden, wenn ein Zwischenent- scheid für den Betroffenen unter Berücksichtigung der sich stellenden Rechtsschutzinteressen einen später nicht wiedergutzumachenden Nach- teil mit sich bringen könnte, wobei ein tatsächlicher Nachteil genüge. Von einem nicht wiedergutzumachenden Nachteil sei auszugehen, wenn der rechtliche oder tatsächliche Nachteil einen Schaden erwarten lasse, an dessen Vermeidung der Betroffene ein schutzwürdiges Interesse habe; Irreparabilität sei hierfür nicht zwingend erforderlich. Lehre und Rechtspre- chung verneinten hingegen einen nicht wiedergutzumachenden Nachteil, wenn die betreffende Anordnung mit dem in der Sache ergehenden End- entscheid angefochten werden könne und sich die Wirkungen des Zwi- schenentscheids durch den Endentscheid voll beseitigen liessen. Blosse prozessökonomische Überlegungen begründeten keine selbständige An- fechtbarkeit von Zwischenentscheiden. Im Entscheid WBE.2016.128 vom</w:t>
      </w:r>
    </w:p>
    <w:p>
      <w:r>
        <w:rPr>
          <w:b/>
        </w:rPr>
        <w:t>E. 10</w:t>
      </w:r>
    </w:p>
    <w:p>
      <w:r>
        <w:t>Juni 2016, Erw. I/1.2, habe das Verwaltungsgericht sodann festgehal- ten, dass die Anfechtbarkeit der Aufforderung zur Einreichung eines nach- träglichen Baugesuchs einen dem Betroffenen drohenden nicht wiedergut- zumachenden Nachteil voraussetze, der nicht mit dem Entscheid in der Hauptsache beseitigt werden könne. Einen solchen Nachteil habe das Ver- waltungsgericht mit dem Hinweis darauf verneint, dass das nachträgliche Baubewilligungsverfahren von Amtes wegen eingeleitet werde. Auch dem Beschwerdeführer erwachse alleine aus der Verpflichtung zur Einreichung eines nachträglichen Baugesuchs zunächst kein Nachteil, der sich nicht mit der blossen Aufhebung eines für ihn ungünstigen Endent- scheids im Rechtsmittelverfahren aufheben liesse. Bei einer Weigerung des Beschwerdeführers, ein Baugesuch einzureichen, werde von Amtes wegen ein nachträgliches Baubewilligungsverfahren eingeleitet. Allein die Belastung, sich einem Verfahren stellen zu müssen, begründe im Allgemei- nen noch keinen nicht wiedergutzumachenden Nachteil. Dies sei auch hier der Fall, weil der Gemeinderat Nutzungseinschränkungen erst nach Durch- führung des nachträglichen Baubewilligungsverfahrens mit Überprüfung der Bewilligungsfähigkeit des aktuellen Betriebs verfügen dürfe, falls sich</w:t>
      </w:r>
    </w:p>
    <w:p>
      <w:r>
        <w:t>- 8 - herausstelle, dass eine Umnutzung vorliege, die nicht bewilligt werden kön- ne. Der angefochtene Entscheid sei deshalb insofern zu korrigieren, als er die angedrohten Nutzungseinschränkungen direkt an die fehlende Einrei- chung eines Baugesuchs knüpfe, durch die Aufhebung von Dispositiv-Zif- fer 2 des Gemeinderatsbeschlusses vom 17. Mai 2021. Ohne diese Anord- nung erfahre der Beschwerdeführer während der Dauer des nachträglichen Baubewilligungsverfahren keine Nutzungseinschränkung. Weil die Verpflichtung zur Einreichung eines Baugesuchs nicht (real) voll- streckt werden könne, brauche der Beschwerdeführer auch keinen Pla- nungsaufwand zu betreiben, der sich später als unnütz erweisen könnte. Bleibe er untätig, weil er auf dem Standpunkt beharre, dass weder ein nach- trägliches Baugesuch noch weitere Unterlagen erforderlich seien, gesche- he vorerst nichts weiter, als dass sich der Gemeinderat die Informationen für die Beurteilung des angeforderten Baugesuchs selbst beschaffen müs- se. Der Gemeinderat sei nach § 17 Abs. 1 VRPG untersuchungspflichtig, andererseits gelte für die Parteien bei der Feststellung des Sachverhalts die Mitwirkungspflicht gemäss § 23 VRPG. Bei einer Verweigerung der Mit- wirkung könne dieses Verhalten frei gewürdigt werden (§ 23 Abs. 2 VRPG). Ergäben die Abklärungen des Gemeinderats weder eine bewilligungspflich- tige Umnutzung noch ebensolche baulichen Massnahmen, werde die Vor- instanz das Verfahren abschreiben. Eine Kostenauflage an den Beschwer- deführer könnte dieser anfechten und geltend machen, dass die Untersu- chungsmassnahmen nicht notwendig gewesen seien. Im Falle bewilli- gungspflichtiger Umnutzungen oder baulicher Massnahmen werde jedoch deren Bewilligungsfähigkeit zu prüfen sein und das Verfahren werde entwe- der in einer nachträglichen Baubewilligung oder einer Restitutionsanord- nung münden. Dabei werde sich der Gemeinderat sinnvollerweise auch an- schauen, was schon (mit der Baubewilligung vom 29. Januar 2018) bewil- ligt worden sei. 3. Dem hält der Beschwerdeführer entgegen, in der Rechtsprechung des Bundesgerichts liessen sich zahlreiche Urteile zur Bewilligungspflicht von baulichen Massnahmen oder anderen raumwirksamen Tätigkeiten finden, beispielsweise BGE 139 II 134 oder die Urteile des Bundesgerichts 1C_51/2015 vom 8. April 2015 und 1C_325/2016 vom 25. November 2016. Den zitierten Urteilen sei gemeinsam, dass ihnen ein Sachverhalt zugrunde liege, bei dem es unstreitig zu baulichen Massnahmen oder raumwirksa- men Veränderungen gekommen sei. Demgegenüber sei hier unklar, ob überhaupt Veränderungen vorlägen, die Gegenstand eines Baubewilli- gungsverfahrens sein könnten. Der Quartierladen sei in der Wohnzone zo- nenkonform, die bestehenden Parkfelder seien bewilligt und neue Parkplät- ze seien gemäss den Vorgaben der einschlägigen VSS-Norm nicht notwen- dig. Die Öffnungszeiten seien mit der Aufhebung des Ladenschlussgeset-</w:t>
      </w:r>
    </w:p>
    <w:p>
      <w:r>
        <w:t>- 9 - zes liberalisiert worden. Zudem verfüge er über eine Bewilligung zur Sonn- tagsarbeit des Departements Volkswirtschaft und Inneres (DVI). Er schrän- ke seine Öffnungszeiten jedoch freiwillig ein und schliesse den Laden an Werktagen um 19.00 Uhr und am Sonntag um 15.00 Uhr. Vor 7.00 Uhr morgens erfolgten jeweils keine Anlieferungen. Für die Anlieferungen wür- den Lastwagen ohne Anhänger verwendet und deren Entladung erfolge an der Laderampe. Die Vorinstanz habe diesen Ausführungen nicht widerspro- chen und keine Feststellungen zum Vorliegen von bewilligungspflichtigen Änderungen getroffen. Ferner sei dem vorinstanzlichen Entscheid nicht zu entnehmen, weshalb die Einreichung eines nachträglichen Baugesuchs als erforderlich erachtet werde. Nach den Ausführungen der Vorinstanz stehe auch noch nicht einmal fest, was bislang bewilligt worden sei. Richtigerweise müsste vor der Aufforde- rung zur Einreichung eines nachträglichen Baugesuchs von Amtes wegen abgeklärt werden, was der bewilligte Zustand beinhalte, wobei den Be- schwerdeführer hierbei selbstverständlich eine Mitwirkungspflicht (§ 23 Abs. 1 VRPG) treffe. Erst danach könne entschieden werden, was Gegen- stand eines vom Beschwerdeführer einzureichenden nachträglichen Bau- gesuchs bilden müsste oder ob Veränderungen im Vergleich zum bewillig- ten Zustand bewilligungsfrei seien. Die Vorinstanz scheine solche Verände- rungen ohne nähere Abklärungen vorauszusetzen. Damit verletze sie die §§ 59 Abs. 1 und 60 Abs. 1 des Gesetzes über Raumentwicklung und Bau- wesen vom 19. Januar 1993 (Baugesetz, BauG; SAR 713.100). Ausser- dem missachte die Vorinstanz ihre Untersuchungspflicht nach § 17 Abs. 1 VRPG, indem sie insbesondere den vom Beschwerdeführer offerierten Augenschein vor Ort nicht durchgeführt habe. Sie habe noch nicht einmal die kommunalen Akten beigezogen und keinen Schriftenwechsel durchge- führt, was gegen § 45 Abs. 1 und 2 VRPG verstosse. Die Verpflichtung zur Einreichung eines nachträglichen Baugesuchs bedeute für ihn einen faktischen Nachteil, der zur Anfechtbarkeit im Sinne von Art. 93 Abs. 1 lit. a des Bundesgesetzes über das Bundesgericht vom 17. Juni 2005 (Bundesgerichtsgesetz, BGG; SR 173.110) führe (BGE 135 II 30). 4.</w:t>
      </w:r>
    </w:p>
    <w:p>
      <w:r>
        <w:rPr>
          <w:b/>
        </w:rPr>
        <w:t>E. 12</w:t>
      </w:r>
    </w:p>
    <w:p>
      <w:r>
        <w:t>Februar 2018, für einen Rückkühler und die Erneuerung und Umgestal- tung der Ladeneinrichtung vom 29. Januar 2018 (sofern diese nicht mit einer Kapazitätserweiterung verbunden war), oder für Photovoltaikanlagen auf der Dachfläche vom 22. November 2010 nicht ohne weiteres als Bewil- ligung für eine damals gegenüber dem Vorzustand (bewilligt für den Neu- bau des Wohn- und Geschäftshauses am 27. November 1958 und den An- bau am 27. Juli 1967) allenfalls bereits intensivierte Nutzung aufgefasst werden kann. Gegebenenfalls müsste auch noch geprüft werden, ob die von den Beschwerdegegnern gerügten Verletzungen von Publikationsvor- schriften dazu geführt haben könnten, dass einzelne Bewilligungen (insbe- sondere für bestimmte Ladenöffnungszeiten) nicht in Rechtskraft erwach- sen sind. Hingegen erscheint beim derzeitigen Aktenstand einigermassen klar, dass mit der Bewilligung vom 12. Februar 2018 für die Neumarkierung der bestehenden (14 oder 16) Parkfelder an der nordöstlichen und südöstli- chen Parzellengrenze auch die Bewilligung zur Nutzung der neu markierten Flächen als Abstellplätze (für den Detailhandelsbetrieb des Beschwerde- führers) erteilt wurde. Fehl geht jedoch die Annahme des Beschwerdefüh- rers eine arbeitsrechtliche Bewilligung für den Sonntagsverkauf und voll- ständig liberalisierte Ladenöffnungszeiten stünden einer Einschränkung der Ladenöffnungszeiten entgegen, die aus baurechtlichen und raumrele- vanten Gründen (zur Vermeidung von Nutzungskonflikten in einer Wohnzo- ne, wo nur mässig störende Gewerbebetriebe zugelassen sind) angeordnet wird.</w:t>
      </w:r>
    </w:p>
    <w:p>
      <w:r>
        <w:rPr>
          <w:b/>
        </w:rPr>
        <w:t>E. 17</w:t>
      </w:r>
    </w:p>
    <w:p>
      <w:r>
        <w:t>Mai 2021 eingetreten, weil es sich bei der Verpflichtung zur Einreichung eines nachträglichen Baugesuchs um einen verfahrensleitenden Zwischenentscheid handelt. Ein solcher kann in der vorliegenden Konstellation in Ermangelung eines vom Beschwerdeführer konkret behaupteten und nachgewiesenen nicht wiedergutzumachenden Nachteils nicht selbständig, sondern erst zusammen mit einem allfälligen Endentscheid angefochten werden, falls darin nach durchgeführtem nach- träglichen Baubewilligungsverfahren mit den erforderlichen Sachverhalts- abklärungen bewilligungspflichtige Änderungen (vorfrageweise zur Ertei- lung einer Baubewilligung oder zum Erlass einer Restitutionsanord- nung/Nutzungsbeschränkung) festgestellt würden. Der zweite Satzteil von Dispositiv-Ziffer 1 des Beschlusses des Gemeinde- rats Q., wonach der Beschwerdeführer für den Fall, dass er innert vorgesehener Frist kein nachträgliches Baugesuch einreicht, das Ladengeschäft auf den bewilligten Zustand gemäss Baubewilligung vom 29. Januar 2018 zu reduzieren habe, ist jedoch von Amtes wegen zu streichen. Diese Korrektur hätte konsequenterweise schon im Zuge der vom BVU angeordneten Aufhebung von Dispositiv-Ziffer 2 des Gemeinde- ratsbeschlusses erfolgen müssen, die mit der zutreffenden Begründung der Vorinstanz erfolgte, dass der Beschwerdeführer vor und während der Durchführung des nachträglichen Baubewilligungsverfahrens zur Feststel- lung von bewilligungspflichtigen baulichen Massnahmen oder Umnutzun- gen nicht zu irgendwelchen Restitutionshandlungen oder Nutzungsbe- schränkungen verpflichtet werden dürfe. Weil davon auszugehen ist, dass der Beschwerdeführer die vorinstanzlich bestätigte Verpflichtung zur Ein- reichung eines nachträglichen Baugesuchs auch ohne diese im vorinstanz- lichen Entscheid versehentlich unterbliebene Korrektur angefochten hätte, ist diese bei der Kostenverlegung nicht zu berücksichtigen. Ausserdem ist bei dieser (Korrektur-)Gelegenheit die von der Verpflichtung zur Einrei- chung des Baugesuchs betroffene Person D. durch den in den vorliegenden Prozess eingetretenen aktuellen Betreiber des Ladenge- schäfts an der L.-Strasse in Q., die Einzelunternehmung A. bzw. dessen Inhaber K. zu ersetzen. 5. Subeventualiter beantragt der Beschwerdeführer, es sei ihm wenigstens die Frist für die Einreichung eines nachträglichen Baugesuchs auf 90 Tage zu verlängern, nachdem ungeklärt sei, was dieses beinhalten müsste. Da- für müsse er mit dem Gemeinderat Q. Rücksprache nehmen. Er versuche auch, mit den Nachbarn eine einvernehmliche Lösung zu finden. All diese Schritte liessen sich nicht innert 60 Tagen realisieren.</w:t>
      </w:r>
    </w:p>
    <w:p>
      <w:r>
        <w:t>- 16 - Für eine einfache planerische Bestandesaufnahme zu den aktuell durch das Detailhandelsgeschäft des Beschwerdeführers gewerblich genutzten Flächen auf der streitbetroffenen Parzelle Nr. aaa genügen zwei Monate vollauf. Dasselbe gilt für detaillierte Angaben des Beschwerdeführers zu den Ladenöffnungs- und Anlieferzeiten sowie zur Kundenfrequenz, zu wel- cher der Beschwerdeführer eine Statistik führen kann, wobei vor allem Kun- den mit einem Motorfahrzeug von Interesse sind. Das Störungspotenzial von Kunden, die den Laden zu Fuss oder mit dem Fahrrad aufsuchen, dürf- te für die Anwohner vernachlässigbar sein. Die Bemühungen, mit den Nachbarn eine einvernehmliche Lösung zu finden, kann der Beschwerde- führer trotz und auch noch nach Einreichung eines nachträglichen Bauge- suchs fortsetzen. Dafür braucht er keine verlängerte Baugesuchsfrist. Im Übrigen könnte er beim Gemeinderat mit Zustimmung der Beschwerde- gegner eine Sistierung des Verfahrens erwirken, wenn begründete Aus- sicht auf eine gütliche Einigung der Parteien bestünde, zu welcher auch der Gemeinderat mit Rücksicht auf die von ihm zu vertretenden öffentlichen Interessen Hand bieten könnte. Demnach erweist sich die vorliegende Beschwerde auch in diesem Punkt als unbegründet, was zur vollständigen Abweisung der Beschwerde führt. III. 1. Im Beschwerdeverfahren werden die Verfahrens- und Parteikosten in der Regel nach Massgabe des Unterliegens und Obsiegens auf die Parteien verlegt (§§ 31 Abs. 2 Satz 1 und 32 Abs. 2 VRPG). Verfahrenskosten wer- den den Behörden aber nur auferlegt, wenn sie schwerwiegende Verfah- rensmängel begangen oder willkürlich entschieden haben (§ 31 Abs. 2 Satz 2 VRPG). Eine solche Privilegierung findet bei den Parteikosten nicht statt. Als vollständig unterliegende Partei wird der Beschwerdeführer für die ver- waltungsgerichtlichen Verfahrenskosten kostenpflichtig. Ausserdem hat er den anwaltlich vertretenen obsiegenden Parteien, mithin den Beschwerde- gegnern und dem Gemeinderat Q., die Kosten für deren anwaltliche Vertretung vor Verwaltungsgericht zu ersetzen. 2. 2.1. Die Höhe der Parteientschädigung richtet sich nach Massgabe des Dekrets über die Entschädigung der Anwälte vom 10. November 1987 (Anwaltstarif; SAR 291.150 [nachfolgend: AnwT]). Nach § 8a Abs. 1 AnwT bemisst sich die Entschädigung in vermögensrechtlichen Streitsachen nach dem ge- mäss § 4 AnwT berechneten Streitwert.</w:t>
      </w:r>
    </w:p>
    <w:p>
      <w:r>
        <w:t>- 17 - Im Streit steht hier eine allfällige nachträgliche Baubewilligung für die ak- tuelle Nutzung des auf der Parzelle Nr. aaa vom Beschwerdeführer be- triebenen Detailhandelsgeschäfts. Inwieweit sich sein jährlicher Gewinn verringern würde, falls er mit einer Nutzungsbeschränkung belegt würde, beispielsweise durch die Verkürzung der Ladenöffnungszeiten oder einer Sortimentsbegrenzung, lässt sich derzeit nicht abschätzen. Aus den Akten und den Parteivorträgen ergeben sich keine entsprechenden Zahlen für einen im Falle einer Nutzungsbeschränkung drohenden Gewinnrückgang. Es ist noch nicht einmal die Tragweite allfälliger künftiger Nutzungsbe- schränkungen bekannt. Demzufolge rechtfertigt es sich, anstelle von § 8a Abs. 1 die Bestimmung in § 8a Abs. 3 AnwT für die Bemessung der Parteientschädigung in nicht vermögensrechtlichen Streitigkeiten heranzuziehen, die auf die sinnge- mäss anzuwendenden §§ 3 Abs. 1 lit. b und 6 ff. AnwT verweist. Gemäss § 3 Abs. 1 lit. b AnwT beträgt die Grundentschädigung für nicht vermögens- rechtliche Streitigkeiten je nach dem mutmasslichen Aufwand des Anwaltes sowie nach der Bedeutung und der Schwierigkeit des Falles Fr. 1'210.00 bis Fr. 14'740.00. Durch diese Grundentschädigung sind abgegolten: In- struktion, Aktenstudium, rechtliche Abklärungen, Korrespondenz und Tele- fongespräche sowie eine Rechtsschrift und die Teilnahme an einer behörd- lichen Verhandlung (§ 6 Abs. 1 AnwT). Für zusätzliche Rechtsschriften und Verhandlungen erhöht sich die Grundentschädigung um je 5–30 % (§ 6 Abs. 3 AnwT). Ausserordentliche Zu- oder Abschläge nach § 7 AnwT fallen nur bei ausserordentlichen oder vergleichsweise geringen anwaltlichen Aufwendungen in Betracht. Im Rechtsmittelverfahren kann die Entschädi- gung um bis zu 50% gegenüber derjenigen im vorinstanzlichen Verfahren gekürzt werden (§ 8 AnwT). 2.2. Der mutmassliche Aufwand der Anwälte der Beschwerdegegner und des Gemeinderats Q. war trotz der Einreichung von zwei Rechtsschriften, die sich zum Teil aber auch schon zu Fragen äussern, die noch gar nicht Thema des angefochtenen Entscheids des BVU bildeten, höchstens durchschnittlich. Die sich stellenden Rechtsfragen beschränkten sich darauf, ob ein anfechtbarer Zwischenentscheid vorliegt. Entsprechend war auch die Komplexität der Materie eher gering. Die Bedeutung des Falles ist für alle Parteien tief, weil es vorderhand nur um die Durchführung eines nachträglichen Baubewilligungsverfahrens geht und noch nichts im Hinblick auf allfällige künftige Nutzungsbeschränkungen entschieden ist. Unter Berücksichtigung aller Faktoren erscheinen daher Parteientschädi- gungen für die Beschwerdegegner und den Gemeinderat im Gesamtbetrag von je Fr. 2'500.00 (vgl. § 8c AnwT) als angemessen.</w:t>
      </w:r>
    </w:p>
    <w:p>
      <w:r>
        <w:t>- 18 -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