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WBE.2021.361 vom 1. Dezember 2022</w:t>
      </w:r>
    </w:p>
    <w:p>
      <w:r>
        <w:t>AG Verwaltungsgericht, 2022-12-01, DE</w:t>
      </w:r>
    </w:p>
    <w:p>
      <w:r>
        <w:rPr>
          <w:b/>
        </w:rPr>
        <w:t xml:space="preserve">Quelle: </w:t>
      </w:r>
      <w:r>
        <w:t>https://mcp.opencaselaw.ch/entscheid/ag_verwaltungsgericht_WBE.2021.361</w:t>
      </w:r>
    </w:p>
    <w:p>
      <w:r>
        <w:t>FR: AG_VERWALTUNGSGERICHT WBE.2021.361 du 1 décembre 2022</w:t>
      </w:r>
    </w:p>
    <w:p>
      <w:r>
        <w:t>IT: AG_VERWALTUNGSGERICHT WBE.2021.361 del 1 dicembre 2022</w:t>
      </w:r>
    </w:p>
    <w:p>
      <w:pPr>
        <w:pStyle w:val="Heading2"/>
      </w:pPr>
      <w:r>
        <w:t>Erwägungen</w:t>
      </w:r>
    </w:p>
    <w:p>
      <w:r>
        <w:rPr>
          <w:b/>
        </w:rPr>
        <w:t>E. 3</w:t>
      </w:r>
    </w:p>
    <w:p>
      <w:r>
        <w:t>Beweisantrag: Es sei anzuordnen, dass die Vorinstanz belastbare Be- gründung und Evidenz für die Rechtmässigkeit der Mundnasenschutz- pflicht ab der 5. Primarklasse im Sinne der Beweisanträge gem. II./Ziff. 2.16 dem Gericht einzureichen hat.</w:t>
      </w:r>
    </w:p>
    <w:p>
      <w:r>
        <w:rPr>
          <w:b/>
        </w:rPr>
        <w:t>E. 4</w:t>
      </w:r>
    </w:p>
    <w:p>
      <w:r>
        <w:t>Beweisantrag: Für die Frage der Schädlichkeit der Maskentragepflicht seien die unter II./Ziff. 3.5.5. benannten Experten vom Gericht als Sachverständige beizuziehen.</w:t>
      </w:r>
    </w:p>
    <w:p>
      <w:r>
        <w:rPr>
          <w:b/>
        </w:rPr>
        <w:t>E. 5</w:t>
      </w:r>
    </w:p>
    <w:p>
      <w:r>
        <w:t>Der Beschwerde sei die aufgrund offenkundiger Verletzung sämtlicher Voraussetzungen für Grundrechtseingriffe gem. Art. 36 BV, insbeson- dere aufgrund fehlender Verhältnismässigkeit für den angestrebten be- haupteten Zweck die aufschiebende Wirkung sofort zu erteilen und die Maskentragepflicht umgehend zu suspendieren.</w:t>
      </w:r>
    </w:p>
    <w:p>
      <w:r>
        <w:rPr>
          <w:b/>
        </w:rPr>
        <w:t>E. 6</w:t>
      </w:r>
    </w:p>
    <w:p>
      <w:r>
        <w:t>Evtl. zu Antrag 5: Das Verfahren sei aufgrund des sich täglich vergrös- sernden Schadens für die betroffenen Kinder und Familien beschleu- nigt durchzuführen.</w:t>
      </w:r>
    </w:p>
    <w:p>
      <w:r>
        <w:rPr>
          <w:b/>
        </w:rPr>
        <w:t>E. 7</w:t>
      </w:r>
    </w:p>
    <w:p>
      <w:r>
        <w:t>Alles unter Kosten- und Entschädigungsfolgen zu Lasten der Vorin- stanz. 2. Am 4. Oktober 2021 wies der instruierende Verwaltungsrichter das Gesuch um superprovisorische Wiederherstellung der aufschiebenden Wirkung ab. In der Eingabe vom 13. Oktober 2021 nahm das Departement Gesundheit und Soziales (DGS), Generalsekretariat, namens des Regierungsrats zum Begehren um aufschiebende Wirkung Stellung und beantragte dessen Ab- weisung. Mit Verfügung vom 18. Oktober 2021 wies der instruierende Ver- waltungsrichter das Gesuch um Wiedererteilung der aufschiebenden Wir- kung bzw. umgehende Suspendierung der Maskentragpflicht ab. 3. Per Ende Oktober 2021 hat der Regierungsrat die verfügte Maskentrag- pflicht an den Schulen unter Verweis auf die günstige epidemiologische Entwicklung wieder aufgehoben. 4. Mit Beschwerdeantwort vom 18. November 2021 beantragte das DGS, Ge- neralsekretariat, namens des Regierungsrats: 1. Die Verwaltungsgerichtsbeschwerde vom 30. September 2021 bezie- hungsweise die darin gestellten Anträge seien vollumfänglich abzuweisen.</w:t>
      </w:r>
    </w:p>
    <w:p>
      <w:r>
        <w:t>- 7 - 2. Unter Kosten- und Entschädigungsfolge zulasten der Beschwerdeführer. 5. Nach mehrfach erstreckter Frist liessen die Beschwerdeführenden am</w:t>
      </w:r>
    </w:p>
    <w:p>
      <w:r>
        <w:rPr>
          <w:b/>
        </w:rPr>
        <w:t>E. 8</w:t>
      </w:r>
    </w:p>
    <w:p>
      <w:r>
        <w:t>April 2022 die Replik erstatten, wobei sie folgende Anträge stellten: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