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WBE.2021.318 vom 22. November 2022</w:t>
      </w:r>
    </w:p>
    <w:p>
      <w:r>
        <w:t>AG Verwaltungsgericht, 2022-11-22, DE</w:t>
      </w:r>
    </w:p>
    <w:p>
      <w:r>
        <w:rPr>
          <w:b/>
        </w:rPr>
        <w:t xml:space="preserve">Quelle: </w:t>
      </w:r>
      <w:r>
        <w:t>https://mcp.opencaselaw.ch/entscheid/ag_verwaltungsgericht_WBE.2021.318</w:t>
      </w:r>
    </w:p>
    <w:p>
      <w:r>
        <w:t>FR: AG_VERWALTUNGSGERICHT WBE.2021.318 du 22 novembre 2022</w:t>
      </w:r>
    </w:p>
    <w:p>
      <w:r>
        <w:t>IT: AG_VERWALTUNGSGERICHT WBE.2021.318 del 22 novembre 2022</w:t>
      </w:r>
    </w:p>
    <w:p>
      <w:pPr>
        <w:pStyle w:val="Heading2"/>
      </w:pPr>
      <w:r>
        <w:t>Erwägungen</w:t>
      </w:r>
    </w:p>
    <w:p>
      <w:r>
        <w:rPr>
          <w:b/>
        </w:rPr>
        <w:t>E. 2</w:t>
      </w:r>
    </w:p>
    <w:p>
      <w:r>
        <w:t>In der Folge schloss sich A. rückwirkend auf 1. Januar 2015 als Selbständigerwerbender der Vorsorgestiftung V. (nachfolgend: V.) an. Gemäss von der V. ausgestellter Bescheinigung über Vorsorgebeiträge leistete A. 2015 ordentliche Vorsorgebeiträge von Fr. 81'016.00 und einen Einkaufsbeitrag von Fr. 200'000.00 an die V..</w:t>
      </w:r>
    </w:p>
    <w:p>
      <w:r>
        <w:rPr>
          <w:b/>
        </w:rPr>
        <w:t>E. 2.1</w:t>
      </w:r>
    </w:p>
    <w:p>
      <w:r>
        <w:t>Zur Festlegung der Höhe der Parteientschädigung ist das Dekret über die Entschädigung der Anwälte vom 10. November 1987 (Anwaltstarif, AnwT; SAR 291.150) massgebend (§ 1 Abs. 1 AnwT), welches hier, wo die Be- schwerdegegner nicht durch einen Rechtsanwalt, sondern (nur) durch dipl. Steuerexperten vertreten werden, jedoch lediglich analog anwendbar ist.</w:t>
      </w:r>
    </w:p>
    <w:p>
      <w:r>
        <w:rPr>
          <w:b/>
        </w:rPr>
        <w:t>E. 2.2</w:t>
      </w:r>
    </w:p>
    <w:p>
      <w:r>
        <w:t>Die Entschädigung in Verwaltungssachen bestimmt sich nach den §§ 8a ff. AnwT. Vorliegend gilt als Streitwert die Differenz der Steuerbelastung mit und ohne den von den Beschwerdegegnern geltend gemachten Abzug von Beiträgen an eine Einrichtung der beruflichen Vorsorge gemäss § 40 Abs. 1 lit. d StG. In vermögensrechtlichen Streitigkeiten wie der vorliegenden ist gemäss § 8a Abs. 1 lit. a Ziff. 2 AnwT die Entschädigung bei einem Streit- wert von Fr. 20'000.00 bis Fr. 50'000.00 in der Grössenordnung von Fr. 1'500.00 bis Fr. 6'000.00 festzulegen. Innerhalb der vorgesehenen Rahmenbeträge richtet sich die Entschädigung nach dem mutmasslichen</w:t>
      </w:r>
    </w:p>
    <w:p>
      <w:r>
        <w:t>- 14 - Aufwand des Anwalts bzw. hier der dipl. Steuerexperten, nach der Bedeu- tung und der Schwierigkeit des Falles (§ 8a Abs. 2 AnwT). Im vorliegenden Fall sind Bedeutung und Schwierigkeit des Falles sowie der mutmassliche Aufwand der Rechtsvertreter als überdurchschnittlich einzustufen. Damit erweist sich für die Vertretung der Beschwerdegegner eine Entschädigung von Fr. 4'000.00 (inkl. Auslagen und MWSt) als angemessen. Das Verwaltungsgericht erkennt:</w:t>
      </w:r>
    </w:p>
    <w:p>
      <w:r>
        <w:rPr>
          <w:b/>
        </w:rPr>
        <w:t>E. 2.2.1</w:t>
      </w:r>
    </w:p>
    <w:p>
      <w:r>
        <w:t>Bei der V. handelt es sich, jedenfalls soweit es um den Anschluss des Beschwerdegegners 1 geht, unstreitig um eine umhüllende Vorsorgeein- richtung, die über das gesetzliche Obligatorium in der beruflichen Vorsorge hinaus Leistungen erbringt. Rechtliche Grundlagen für das Rechtsverhält- nis zwischen den Versicherten und der Pensionskasse bilden in Bezug auf das Obligatorium die Bestimmungen des BVG (vgl. Art. 5 Abs. 2 BVG). Im Bereich der weitergehenden beruflichen Vorsorge werden die Rechtsbe- ziehungen zwischen Versichertem und privater Vorsorgeeinrichtung dage- gen durch den Vorsorgevertrag geregelt. Auf diesen – den Innominatver- trägen sui generis zugeordneten – Vertrag ist der Allgemeine Teil des Ob- ligationenrechts anwendbar (Art. 1 - 183 OR; vgl. BGE 141 V 162 Erw. 3.1.1; Urteil des Bundesgerichts 9C_385/2020 vom 2. März 2021 Erw. 3.1 und 3.2).</w:t>
      </w:r>
    </w:p>
    <w:p>
      <w:r>
        <w:rPr>
          <w:b/>
        </w:rPr>
        <w:t>E. 2.2.2</w:t>
      </w:r>
    </w:p>
    <w:p>
      <w:r>
        <w:t>Zum Abschluss eines Vertrags ist nach Art. 1 Abs. 1 OR die übereinstim- mende gegenseitige Willensäusserung der Parteien erforderlich. Sie kann gemäss Art. 1 Abs. 2 OR eine ausdrückliche oder stillschweigende sein. Verträge bedürfen nach Art. 11 Abs. 1 OR zu ihrer Gültigkeit nur dann einer besonderen Form, wenn das Gesetz eine solche vorschreibt. Ist für einen Vertrag, der vom Gesetz an keine Form gebunden ist, die Anwendung einer solchen vorbehalten worden, so wird in Anwendung von Art. 16 Abs. 1 OR vermutet, dass die Parteien vor Erfüllung der Form nicht verpflichtet sein wollen. Der Beschwerdegegner 1 reichte am 7. Dezember 2015 die gleichentags von ihm ausgefüllte Anmeldung zuhanden der V. ein, nachdem er am 4. Dezember 2015 über die Möglichkeit einer rückwirkend per 1. Januar 2015 geltenden Versicherung bei der V. informiert worden war (Be- schwerdeantwortbeilage [AB] 9). Gemäss Bestätigung der V. vom 30. September 2021 kam der Anschluss im Dezember 2015 rückwirkend per 1. Januar 2015 zustande (AB 10), was im Lichte von Art. 1 und Art. 18 OR sowie Art. 11 Abs. 3 BVG zulässig ist (vgl. Urteil des Bundesgerichts 9C_377/2014 vom 10. Februar 2015 Erw. 3.1). Das Zustandekommen des Anschlusses im Dezember 2015 wird dadurch untermauert, dass dem Be- schwerdegegner 1 am 11. Dezember 2015 sein Einkaufspotential bei der V. mitgeteilt wurde (AB 9) und der Beschwerdegegner 1 die streitigen Beitragszahlungen mit Valuta 18. Dezember 2015 vornahm (Akten des Ein- spracheverfahrens, Reg. 2). Somit kann auch nicht von einem über den Jahreswechsel 2015/2016 hinaus rückwirkenden Vertragsschluss gespro- chen werden. Aber selbst wenn der Anschlussvertrag erst am 28. Januar 2016 mit der schriftlichen Unterzeichnung der Anschlussvereinbarung seitens der V.</w:t>
      </w:r>
    </w:p>
    <w:p>
      <w:r>
        <w:t>- 7 - zustande gekommen sein sollte, wäre nicht einzusehen, warum dadurch nicht zulässigerweise ein rückwirkend gültiger Vertrag geschlossen worden sein sollte, zumal in der Anschlussvereinbarung vom 28. Januar 2016 aus- drücklich bestimmt wurde, dass Anschluss und Versicherung per 1. Januar 2015 beginnen sollten (vgl. dazu auch Urteil des Bundesgerichts 9C_377/2014 vom 10. Februar 2015 Erw. 3.1).</w:t>
      </w:r>
    </w:p>
    <w:p>
      <w:r>
        <w:rPr>
          <w:b/>
        </w:rPr>
        <w:t>E. 2.2.3</w:t>
      </w:r>
    </w:p>
    <w:p>
      <w:r>
        <w:t>Gemäss Art. 4 Abs. 2 BVG gelten die Bestimmungen des BVG über die obligatorische Versicherung sinngemäss für die freiwillige Versicherung Selbständigerwerbender (Art. 4 Abs. 1 i.V.m. Art. 44 f. BVG). Auch Art. 7 Abs. 2 BVG, wonach der für die obligatorische berufliche Vorsorge mass- gebende Lohn dem Lohn gemäss Bundesgesetz über die Alters- und Hin- terlassenenversicherung vom 20. Dezember 1946 (AHVG; SR 831.10) ent- spricht, der Bundesrat aber Abweichungen zulassen kann, findet auf die freiwillige Versicherung sinngemäss Anwendung. Dies bringt es mit sich, dass die gemäss Art. 3 BVV 2 zugelassenen Abweichungen vom massge- benden AHV-Lohn sinngemäss auch in der freiwilligen Versicherung der Selbständigerwerbenden vorgesehen werden können (MARC HÜRZELER, in: Basler Kommentar, Berufliche Vorsorge, 2020, N. 4 zu Art. 4 BVG). Jedoch handelt es sich bei der Pränumerando-Festlegung des Jahreseinkommens gemäss Art. 3 Abs. 1 lit. b BVV 2 lediglich um eine reglementarische Ge- staltungsmöglichkeit, die der administrativen Vereinfachung und der Be- ständigkeit dient, indem das versicherte Einkommen nicht bei jeder unvor- hergesehenen Änderung wieder neu festgesetzt werden muss. Auf regle- mentarischer Grundlage kann somit das versicherte Einkommen zu Beginn des Kalenderjahres definitiv festgesetzt werden, entweder durch Bezug- nahme auf das letzte bekannte Jahreseinkommen oder auf der Grundlage des am 1. Januar des Jahres geltenden Einkommens. Die Pränumerando- Festlegung des versicherten Einkommens kann zur Folge haben, dass das versicherte (koordinierte) Jahreseinkommen von dem während des Versi- cherungsjahres tatsächlich erzielten massgebenden AHV-Einkommen ab- weicht. Eine definitive Festsetzung Ende Jahr erfolgt in diesen Fällen nicht. Eine Anpassung an die tatsächlichen und für die AHV massgebenden Ein- kommensverhältnisse wird erst wieder im Folgejahr vorgenommen, sofern die Veränderungen nicht Einkommensbestandteile betrafen, welche vom massgebenden Einkommen ausgeschlossen werden können. Eine Anpas- sung muss jedoch auch bei Vorausdeklaration erfolgen, wenn sich die Ver- hältnisse dauernd und grundlegend, d.h. qualitativ und quantitativ ändern (ELISABETH GLÄTTLI, in: Basler Kommentar, Berufliche Vorsorge, 2020, N. 39 ff. zu Art. 8 BVG). Grundlage für die Bestimmung des versicherten Einkommens bildet nach Art. 5.1 des Vorsorgereglements der V. bei Selbständigerwerbenden das deklarierte Jahreseinkommen. Bei Selbständigerwerbenden mit schwan-</w:t>
      </w:r>
    </w:p>
    <w:p>
      <w:r>
        <w:t>- 8 - kendem Jahreseinkommen kann bei der Festlegung des deklarierten Jah- reseinkommens auf das Durchschnittseinkommen der vergangenen Kalen- derjahre abgestellt werden, wobei maximal die Einkommen der letzten fünf Kalenderjahre berücksichtigt werden (Art. 5.2 letzter Satz des Vorsorgere- glements). Bei Änderungen des Jahreseinkommens werden die versicher- ten Leistungen und Beiträge grundsätzlich am 1. Januar angepasst, der mit der Änderung zusammenfällt oder auf diese folgt. Unterjährige Änderungen können jedoch auf Wunsch bereits auf ihr Inkrafttreten berücksichtigt wer- den (Art. 5.8 des Vorsorgereglements). Der Einwand des KStA, das im BVG anwendbare Prinzip der Vorausdekla- ration bzw. die Pränumerando-Methode stehe einem rückwirkenden An- schluss entgegen (Beschwerde S. 5 f.), geht aufgrund der bundesrechtlich erlaubten und im Reglement der V. vorgesehenen Möglichkeit nachträg- licher Anpassungen des versicherten Jahreseinkommens somit fehl.</w:t>
      </w:r>
    </w:p>
    <w:p>
      <w:r>
        <w:rPr>
          <w:b/>
        </w:rPr>
        <w:t>E. 2.2.4</w:t>
      </w:r>
    </w:p>
    <w:p>
      <w:r>
        <w:t>Nachdem der Anschlussvertrag im Dezember 2015 rechtsgültig abge- schlossen wurde, war – entgegen der Beschwerde (S. 5) – das Vorsorge- reglement der V. im Jahr 2015 anwendbar. Demzufolge konnte der Be- schwerdegegner 1 in diesem Jahr nach Massgabe dieses Reglements or- dentliche Pensionskassenbeiträge leisten und einen Höhereinkauf vorneh- men. 3.</w:t>
      </w:r>
    </w:p>
    <w:p>
      <w:r>
        <w:rPr>
          <w:b/>
        </w:rPr>
        <w:t>E. 3</w:t>
      </w:r>
    </w:p>
    <w:p>
      <w:r>
        <w:t>Die Kosten des Rekursverfahrens trägt der Staat.</w:t>
      </w:r>
    </w:p>
    <w:p>
      <w:r>
        <w:rPr>
          <w:b/>
        </w:rPr>
        <w:t>E. 3.1</w:t>
      </w:r>
    </w:p>
    <w:p>
      <w:r>
        <w:t>Das KStA bringt weiter vor, statt des gemeldeten Jahreslohns von Fr. 350'000.00 hätte ein solcher von Fr. 0.00 angenommen werden müs- sen, denn die einmalige Auflösung der Rückstellung sei klar eine einmalig angefallene Lohnkomponente, welche gemäss Art. 5.2 des Vorsorgeregle- ments bei der Bestimmung des versicherten Lohns nicht hätte berücksich- tigt werden dürfen, und es seien keine regelmässigen Einkünfte aus selb- ständiger Erwerbstätigkeit erzielt worden. Das regelmässige Einkommen des Beschwerdegegners 1 aus unselbständiger Erwerbstätigkeit sei ander- weitig BVG-versichert und könne nicht noch einmal als Basis für die Versi- cherung aus selbständiger Erwerbstätigkeit verwendet werden. Mit einem gemeldeten Jahreslohn von Fr. 350'000.00 anstatt Fr. 0.00 bestehe somit eine nicht reglementskonforme Überversicherung.</w:t>
      </w:r>
    </w:p>
    <w:p>
      <w:r>
        <w:rPr>
          <w:b/>
        </w:rPr>
        <w:t>E. 3.2.1</w:t>
      </w:r>
    </w:p>
    <w:p>
      <w:r>
        <w:t>Grundlage für die Bestimmung des versicherten Lohns ist für Arbeitnehmer der Jahreslohn und für Selbständigerwerbende das deklarierte Jahresein- kommen (Art. 5.1 des Vorsorgereglements der V.). Gemäss Art. 5.2 des Vorsorgereglements entspricht der Jahreslohn dem am 1. Januar bzw. bei</w:t>
      </w:r>
    </w:p>
    <w:p>
      <w:r>
        <w:t>- 9 - der Aufnahme in die Personalvorsorge festen AHV-Jahreslohn gemäss Ar- beitsvertrag (ohne gelegentlich oder vorübergehend anfallende Lohnteile wie z.B. Überstundenentschädigungen, Boni oder Gratifikationen, wobei Boni dem Jahreslohn zuzurechnen sind, sofern diese der obligatorischen BVG-Versicherung unterliegen). Bei Selbständigerwerbenden mit schwan- kendem Einkommen kann bei der Festlegung des deklarierten Jahresein- kommens auf das Durchschnittseinkommen der vergangenen Kalender- jahre abgestellt werden, wobei maximal die Einkommen der letzten fünf Kalenderjahre berücksichtigt werden. Entgegen dem KStA ist der Passus von Art. 5.1 des Vorsorgereglements, wonach gelegentlich oder vorübergehend anfallende Lohnteile bei der Be- rechnung des relevanten Jahreseinkommens nicht zu berücksichtigen sind, auf Selbständigerwerbende wie hier den Beschwerdegegner 1 nicht an- wendbar, da sich dieser Passus – wie sich aus der beispielhaften Aufzäh- lung nicht zu berücksichtigender Lohnteile (Überstundenentschädigungen, Boni, Gratifikationen) ergibt, die nur bei Unselbständigerwerbenden anfal- len – einzig auf Unselbständigerwerbende bezieht. Wie der Beschwerde- gegner 1 in der Beschwerdeantwort sodann zutreffend ausführte, handelt es sich bei Art. 5.2 Satz 2 des Vorsorgereglements um eine sog. Kann- Bestimmung, was bedeutet, dass bei Selbständigerwerbenden mit schwan- kendem Jahreseinkommen nicht zwingend auf das Durchschnittseinkom- men maximal der letzten fünf Kalenderjahre abzustellen ist.</w:t>
      </w:r>
    </w:p>
    <w:p>
      <w:r>
        <w:rPr>
          <w:b/>
        </w:rPr>
        <w:t>E. 3.2.2</w:t>
      </w:r>
    </w:p>
    <w:p>
      <w:r>
        <w:t>Im Jahr 2015 erzielte der Beschwerdegegner 1 das Einkommen aus selb- ständiger Erwerbstätigkeit von Fr. 350'000.00 (auf den Beschwerdegeg- ner 1 entfallener Anteil der aufgelösten Rückstellung) zusätzlich zu jenem aus unselbständiger Tätigkeit. Ersteres war somit nicht BVG-versichert, weshalb nicht zu beanstanden ist, dass es als Basis für eine separate BVG- Versicherung herangezogen wurde. Der ordentliche Jahresbeitrag von Fr. 81'016.20 setzt sich zusammen aus dem Sparbeitrag von Fr. 78'078.00 und dem Risiko- und Kostenbeitrag von Fr. 2'938.20 (AB 12). Von einer Äufnung von Altersguthaben ohne Risikoschutz kann daher – entgegen der Beschwerde (S. 6) – nicht die Rede sein. Dass die Berechnung des or- dentlichen Jahresbeitrags und der maximal möglichen Einkaufssumme von Fr. 2'303'545.00 bei der V. fehlerhaft wäre, ist nicht erkennbar und wurde vom KStA auch nicht substantiiert dargetan. Im Weiteren kann in diesem Zusammenhang auf die ausführlichen und zutreffenden Ausführungen im vorinstanzlichen Urteil (Erw. 7.5, insbesondere Erw. 7.5.3 f.) verwiesen werden.</w:t>
      </w:r>
    </w:p>
    <w:p>
      <w:r>
        <w:t>- 10 - 4.</w:t>
      </w:r>
    </w:p>
    <w:p>
      <w:r>
        <w:rPr>
          <w:b/>
        </w:rPr>
        <w:t>E. 4</w:t>
      </w:r>
    </w:p>
    <w:p>
      <w:r>
        <w:t>Das KStA erklärte am 2. Mai 2022, es verzichte auf eine Stellungnahme. Der Stadtrat X. liess sich zur Stellungnahme der Beschwerdegegner nicht vernehmen.</w:t>
      </w:r>
    </w:p>
    <w:p>
      <w:r>
        <w:t>- 4 -</w:t>
      </w:r>
    </w:p>
    <w:p>
      <w:r>
        <w:rPr>
          <w:b/>
        </w:rPr>
        <w:t>E. 4.1</w:t>
      </w:r>
    </w:p>
    <w:p>
      <w:r>
        <w:t>Das KStA macht sodann geltend, mit dem mit Anschlussvertrag vom 28. Januar 2016 erfolgten rückwirkenden Anschluss des Beschwerdegeg- ners 1 an die V. per 1. Januar 2015 sollten die mit Valuta 18. Dezember 2015 einmalig an die V. geleisteten ordentlichen Beiträge von Fr. 81'016.00 und der Höhereinkauf von Fr. 200'000.00 zu zweckgebundenen Vorsorgemitteln werden. Das Vorsorgeverhältnis sei per 1. Januar 2016 sistiert worden. Ein Sinn in diesem absonderlichen Vorgehen erschliesse sich nur unter der Annahme, dass es dem Beschwerdegegner 1 in erster Linie darum gegangen sei, die aus der Auflösung der Prozesskos- tenrückstellung resultierende Steuerlast für das Steuerjahr 2015 zu redu- zieren. Als zusätzliche Motivation komme die Wahrung bzw. Erhöhung der BVG-Einkaufsmöglichkeit bei der unselbständigen Erwerbstätigkeit in Be- tracht. Der Beschwerdegegner 1 habe jedenfalls für 2015 ausreichend Ein- kaufspotential in den Vorsorgeeinrichtungen der unselbständigen Erwerbs- tätigkeit gehabt.</w:t>
      </w:r>
    </w:p>
    <w:p>
      <w:r>
        <w:rPr>
          <w:b/>
        </w:rPr>
        <w:t>E. 4.2.1</w:t>
      </w:r>
    </w:p>
    <w:p>
      <w:r>
        <w:t>Nach der bundesgerichtlichen Rechtsprechung wird eine Steuerumgehung angenommen, wenn (1.) eine von den Beteiligten gewählte Rechtsgestal- tung als ungewöhnlich ("insolite"), sachwidrig oder absonderlich, jedenfalls den wirtschaftlichen Gegebenheiten völlig unangemessen erscheint (sog. objektives Element), (2.) anzunehmen ist, dass die gewählte Rechtsgestal- tung missbräuchlich lediglich deshalb getroffen wurde, um Steuern einzu- sparen, die bei sachgemässer Ordnung der Verhältnisse geschuldet wären (sog. subjektives Element), und (3.) das gewählte Vorgehen tatsächlich zu einer erheblichen Steuerersparnis führen würde, sofern es von der Steuer- behörde hingenommen würde (sog. effektives Element). Ob diese Voraus- setzungen erfüllt sind, ist aufgrund der konkreten Umstände des Einzelfalls zu prüfen. Sind die Voraussetzungen der Steuerumgehung erfüllt, so ist der Besteuerung diejenige Rechtsgestaltung zugrunde zu legen, die sachge- recht gewesen wäre, um den angestrebten wirtschaftlichen Zweck zu errei- chen. Eine Steuerumgehung kommt nur in ganz ausserordentlichen Situa- tionen in Frage, namentlich wenn die gewählte Rechtsgestaltung (objekti- ves Element) – abgesehen von den steuerlichen Aspekten – jenseits des wirtschaftlich Vernünftigen liegt. Das subjektive Element erweist sich inso- fern als entscheidend, als die Annahme einer Steuerumgehung ausge- schlossen bleibt, wenn andere als blosse Steuerersparnisgründe bei der Rechtsgestaltung eine relevante Rolle spielen (BGE 142 II 399, Erw. 4.2; Urteil des Bundesgerichts 2C_263/2020 vom 10. Dezember 2021, Erw. 5.2).</w:t>
      </w:r>
    </w:p>
    <w:p>
      <w:r>
        <w:t>- 11 -</w:t>
      </w:r>
    </w:p>
    <w:p>
      <w:r>
        <w:rPr>
          <w:b/>
        </w:rPr>
        <w:t>E. 4.2.2</w:t>
      </w:r>
    </w:p>
    <w:p>
      <w:r>
        <w:t>Zwar kommt Steuerumgehung – im Sinne einer rechtsmissbräuchlichen Anrufung des als massgeblich geltenden Sinnes einer Norm – nur in ganz ausserordentlichen Situationen in Frage, d.h. wenn trotz Heranziehung des Normsinnes als Auslegungsschranke eine Besteuerung oder eine Steuer- befreiung nicht möglich ist, das Gesetz also angewendet werden kann, das Ergebnis aber aufgrund der konkreten Ausgestaltung des Sachverhalts in hohem Masse als stossend erscheint bzw. einer Willkür gleichkäme. Wird das Vorliegen einer Steuerumgehung mit dieser Gewichtung geprüft, so stellen die genannten Kriterien einen tauglichen Prüfraster für die Abgren- 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 haltsgestaltung vorliegen, die – wenn man von den steuerlichen Aspekten absieht – jenseits des wirtschaftlich Vernünftigen liegt. Das sog. subjektive Element spielt insofern eine entscheidende Rolle, als die Annahme einer Steuerumgehung ausgeschlossen bleibt, wenn andere als blosse Steuerer- sparnisgründe bei der Rechtsgestaltung eine relevante Rolle spielen. Wird der Anwendung der Steuerumgehung das rechtsmissbräuchliche Anrufen einer Norm zugrunde gelegt, so kann die zweckwidrige, ohne schützens- wertes Interesse erfolgende Rechtsausübung nicht unbeachtet bleiben. Was schliesslich das sog. effektive Element anbelangt, ist zu beachten, dass der Steuerpflichtige grundsätzlich frei ist, wie er seine Rechtsverhält- nisse gestalten will, und dass bei rechtsmissbräuchlicher Gestaltung dann eingegriffen werden soll, wenn diese andernfalls tatsächlich Wirkung ent- falten würde. Nicht zu prüfen ist im Kontext der Steuerumgehung, wie zu verfahren ist, wenn die Anwendung einer Norm zu einer Steuerübertrei- bung führen würde, die als krasser Verstoss gegen die Steuergerechtigkeit und damit als willkürlich qualifiziert werden müsste. Ob die Voraussetzun- 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(BGE 138 II 239, Erw. 4.1).</w:t>
      </w:r>
    </w:p>
    <w:p>
      <w:r>
        <w:rPr>
          <w:b/>
        </w:rPr>
        <w:t>E. 4.3.1</w:t>
      </w:r>
    </w:p>
    <w:p>
      <w:r>
        <w:t>Im vorliegenden Fall ist keine völlig unangemessene Rechtsgestaltung im Sinne der bundesgerichtlichen Rechtsprechung erkennbar. Der Beschwer- degegner 1 war von 1998 bis 2019 Gesellschafter der E. und – wie ein weiterer Gesellschafter (Eingabe vom 14. April 2022 S. 4 und Beilage 3) – für sein Einkommen aus selbständiger Tätigkeit bei der V. versichert. Die BVG-Beiträge auf seinem Anteil der Prozesskostenrückstellung wären von ihm als Teil seines Einkommens aus selbständiger Erwerbstätigkeit auch</w:t>
      </w:r>
    </w:p>
    <w:p>
      <w:r>
        <w:t>- 12 - bezahlt worden, wenn diese Auflösung erfolgt wäre, als die E. ihre Tätigkeit noch nicht aufgegeben hatte. Da der Beschwerdegegner 1 in den Jahren 2016 und 2017 keine Einkünfte aus selbständiger Erwerbstätigkeit für die E. erzielte (Eingabe vom 14. April 2022, S. 4; vgl. auch die Er- folgsrechnungen in den Steuererklärungen 2016 und 2017), erscheint es plausibel und nachvollziehbar, dass das Vorsorgeverhältnis vom 1. Januar 2016 bis 31. Dezember 2017 sistiert wurde (Vorsorgeausweise 2016 [Ver- sion vom 8. April 2016] und 2017 = Beilage 4 zur Eingabe vom 14. April 2022). Die Sistierung des Vorsorgeverhältnisses entspricht Art. 2.7 des Vorsorgereglements. Sie ändert – entgegen der Auffassung des KStA (Be- schwerde S. 7) – jedoch nichts, nachdem der Jahresbeitrag und der Ein- kaufsbetrag 2015 zuhanden der V. dauernd der beruflichen Vorsorge die- nen und damit in Einklang mit Art. 4 Abs. 4 BVG stehen. Letzteres wird be- stätigt durch den Umstand, dass bei Auflösung des Vorsorgeverhältnisses die Freizügigkeitsleistung auf ein Zinssparkonto bei der Freizügigkeitsstif- tung der Zentralschweiz überwiesen wurde (Beilagen 4 und 5 zur Eingabe vom 14. April 2022), womit es weiterhin dem Vorsorgezweck verhaftet ist. Die umstrittenen Beiträge an die V. dienten somit – entsprechend dem Zweck der beruflichen Vorsorge – der Versicherung des Beschwerdegeg- ners 1 für die Risiken Alter, Tod und Invalidität (Art. 1 Abs. 1 BVG). Hinzu kommt, dass der Beschwerdegegner 1 im Jahr 2018 nochmals Beiträge an die V. bezahlt hat (vgl. Vorsorgeausweis 2018 [Version vom 21. Dezember 2019] = Beilage 4 zur Eingabe vom 14. April 2022). Schliesslich verfügte er bei den Vorsorgeeinrichtungen seiner Arbeitgeberin G. AG (Q. und R.) per 1. Januar 2015 über ein Einkaufspotential von rund Fr. 552'000.00 (Q.) bzw. Fr. 786'600.00 (R.), somit gesamthaft rund Fr. 1'338'600.00 (AB 13). Das Vorsorgeguthaben bei der V. wird an das Einkaufspotential bei den beiden anderen Vorsorgeeinrichtungen gemäss Art. 60a BVV 2 angerechnet, weshalb im Einkauf bei der V. im Betrag von Fr. 200'000.00 auch keine Erweiterung der Einkaufsmöglichkeiten erblickt werden kann. Die Versicherung von Einkommen aus selbständiger Erwerbstätigkeit bei der E. war bei der Sammelstiftung BVG der Q. und der R. nicht möglich, weil er bei diesen Vorsorgeeinrichtungen als Arbeitnehmer der G. AG versichert war (AB 13).</w:t>
      </w:r>
    </w:p>
    <w:p>
      <w:r>
        <w:rPr>
          <w:b/>
        </w:rPr>
        <w:t>E. 4.3.2</w:t>
      </w:r>
    </w:p>
    <w:p>
      <w:r>
        <w:t>Dass es dem Beschwerdegegner 1 nebst der Versicherung für die Risiken Alter, Tod und Invalidität (Art. 1 Abs. 1 BVG) auch darum ging, eine Steu- erersparnis zu erzielen, ist zwar nicht von der Hand zu weisen, zumal er die entsprechenden Abzüge in der Steuererklärung 2015 tatsächlich gel- tend gemacht hat. Die Abzugsfähigkeit der Beiträge an Einrichtungen der beruflichen Vorsorge ist aber sowohl vorsorgerechtlich betrachtet (Art. 81 Abs. 2 BVG) als auch aus steuerrechtlicher Optik (Art. 9 Abs. 2 lit. d StHG, § 40 Abs. 1 lit. d StG; Art. 33 Abs. 1 lit. d DBG) ein zulässiges Mittel der Steueroptimierung. Vor diesem Hintergrund ist nicht anzunehmen, dass der</w:t>
      </w:r>
    </w:p>
    <w:p>
      <w:r>
        <w:t>- 13 - Beschwerdegegner 1 die gewählte Rechtsgestaltung missbräuchlich ledig- lich deshalb getroffen hat, um Steuern einzusparen, die bei sachgemässer Ordnung der Verhältnisse geschuldet wären.</w:t>
      </w:r>
    </w:p>
    <w:p>
      <w:r>
        <w:rPr>
          <w:b/>
        </w:rPr>
        <w:t>E. 4.3.3</w:t>
      </w:r>
    </w:p>
    <w:p>
      <w:r>
        <w:t>Damit fehlt es vorliegend am objektiven und am subjektiven Element für die Annahme einer Steuerumgehung. Bei diesem Ergebnis braucht nicht mehr geprüft zu werden, in welchem Umfang das gewählte Vorgehen zu einer Steuerersparnis führen würde (sog. effektives Element).</w:t>
      </w:r>
    </w:p>
    <w:p>
      <w:r>
        <w:rPr>
          <w:b/>
        </w:rPr>
        <w:t>E. 5</w:t>
      </w:r>
    </w:p>
    <w:p>
      <w:r>
        <w:t>Zusammenfassend ist festzuhalten, dass die Vorinstanz die vom Be- schwerdegegner 1 im Jahr 2015 an die V. geleisteten Beiträge von total Fr. 281'016.00 zu Recht zum Abzug zugelassen und das satzbestimmende Einkommen von Fr. 772'778.00 um diesen Betrag auf Fr. 491'782.00 redu- ziert hat. Die Beschwerde ist deshalb abzuweisen. III. 1. Bei diesem Ausgang des Verfahrens gehen die Kosten des verwaltungs- gerichtlichen Verfahrens zu Lasten des KStA welches als Behörde Be- schwerde geführt und damit vermögensrechtliche Interessen des Gemein- wesens verfolgt hat (§ 189 Abs. 1 StG; § 31 Abs. 2 VRPG, AGVE 2006, S. 285). Das KStA hat den Beschwerdegegnern überdies die im verwal- tungsgerichtlichen Verfahren entstandenen Parteikosten zu ersetzen (§ 189 Abs. 2 StG; § 32 Abs. 2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