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WBE.2021.311 vom 18. Februar 2022</w:t>
      </w:r>
    </w:p>
    <w:p>
      <w:r>
        <w:t>AG Verwaltungsgericht, 2022-02-18, DE</w:t>
      </w:r>
    </w:p>
    <w:p>
      <w:r>
        <w:rPr>
          <w:b/>
        </w:rPr>
        <w:t xml:space="preserve">Quelle: </w:t>
      </w:r>
      <w:r>
        <w:t>https://mcp.opencaselaw.ch/entscheid/ag_verwaltungsgericht_WBE.2021.311</w:t>
      </w:r>
    </w:p>
    <w:p>
      <w:r>
        <w:t>FR: AG_VERWALTUNGSGERICHT WBE.2021.311 du 18 février 2022</w:t>
      </w:r>
    </w:p>
    <w:p>
      <w:r>
        <w:t>IT: AG_VERWALTUNGSGERICHT WBE.2021.311 del 18 febbraio 2022</w:t>
      </w:r>
    </w:p>
    <w:p>
      <w:pPr>
        <w:pStyle w:val="Heading2"/>
      </w:pPr>
      <w:r>
        <w:t>Erwägungen</w:t>
      </w:r>
    </w:p>
    <w:p>
      <w:r>
        <w:rPr>
          <w:b/>
        </w:rPr>
        <w:t>E. 3</w:t>
      </w:r>
    </w:p>
    <w:p>
      <w:r>
        <w:t>Den Beschwerdeführern sei für das Beschwerdeverfahren die vollumfäng- liche unentgeltliche Rechtspflege zu gewähren. Rechtsanwältin Larissa Morard sei als unentgeltliche Rechtsbeiständin zu ernennen.</w:t>
      </w:r>
    </w:p>
    <w:p>
      <w:r>
        <w:rPr>
          <w:b/>
        </w:rPr>
        <w:t>E. 4</w:t>
      </w:r>
    </w:p>
    <w:p>
      <w:r>
        <w:t>Mit der Verwaltungsgerichtsbeschwerde können die unrichtige oder unvoll- ständige Feststellung des Sachverhalts sowie Rechtsverletzungen gerügt</w:t>
      </w:r>
    </w:p>
    <w:p>
      <w:r>
        <w:t>- 5 - werden (§ 58 Abs. 4 SPG i.V.m. § 55 Abs. 1 VRPG). Die Rüge der Unan- gemessenheit ist demgegenüber unzulässig (Umkehrschluss aus § 55 Abs. 3 VRPG). II. 1. 1.1. Die Höhe der Parteientschädigung richtet sich nach dem Dekret über die Entschädigung der Anwälte vom 10. November 1987 (Anwaltstarif, AnwT; SAR 291.150). Sozialhilfesachen sind grundsätzlich vermögensrechtliche Angelegenheiten mit einem zu bestimmenden Streitwert (vgl. Aargauische Gerichts- und Verwaltungsentscheide [AGVE] 2007, S. 191 ff.). Die Vorinstanz bestimmte – ausgehend von der eingestellten materiellen Hilfe für die Unterstützungseinheit während der Dauer eines Jahres (12 x Fr. 3'221.00) – einen Streitwert von Fr. 38'652.00 (vgl. angefochtener Ent- scheid, Erw. III/2.2). Diese Streitwertberechnung entspricht der verwal- tungsgerichtlichen Rechtsprechung, wonach bei wiederkehrenden und in der Dauer unbestimmten Leistungen in der Regel auf 12 Monate abzustel- len ist (vgl. AGVE 2007, S. 193). Der Entschädigungsrahmen geht in Be- schwerdeverfahren mit einem Streitwert zwischen Fr. 20'000.00 und Fr. 50'000.00 von Fr. 1'500.00 bis Fr. 6'000.00 (§ 8a Abs. 1 lit. a Ziffer 2 AnwT). Innerhalb des vorgesehenen Rahmenbetrags richtet sich die Ent- schädigung nach dem mutmasslichen Aufwand des Anwalts, nach der Be- deutung und der Schwierigkeit des Falls (§ 8a Abs. 2 AnwT). Für ein durch- schnittliches, vollständig durchgeführtes Verfahren ergibt sich eine Grund- entschädigung von Fr. 3'750.00. 1.2. Die Beschwerdeführer 1.1 und 1.2 haben vor der Vorinstanz zunächst eine Laieneingabe als Beschwerde eingereicht, die 3 Seiten umfasste (Vorakten des DSG 1 ff.). Angeblich wurden sie dabei durch eine "Beratungsstelle" unterstützt; für den weiteren Verlauf des Verfahrens ersuchten sie um un- entgeltliche Vertretung (Vorakten des DGS 3). Nach dem Beizug des Rechtsvertreters (dem Beschwerdeführer 2) und der Bewilligung der unent- geltlichen Vertretung durch die Vorinstanz (Vorakten des DGS 54) ver- fasste dieser die Replik/Stellungnahme vom 29. April 2021 mit einem Um- fang von 16 Seiten (Vorakten des DGS 55 ff.). Der Vorinstanz kann nicht gefolgt werden, wenn sie ausführt, die in der Replik gemachten Ausführungen seien grösstenteils nicht notwendig ge- wesen (vgl. angefochtener Entscheid, Erw. III/2.2). Der Rechtsvertreter konnte erst im Hinblick auf die Replik tätig werden. In der Beschwerde- schrift hatten die Beschwerdeführer 1.1 und 1.2 in erster Linie dargelegt, dass sie über keine Mittel verfügten, und Berichte ihres Hausarztes zitiert, die sich zu ihrer Arbeitsfähigkeit äusserten. Weiter verwiesen sie auf eine</w:t>
      </w:r>
    </w:p>
    <w:p>
      <w:r>
        <w:t>- 6 - Stellungnahme des Hausarztes, worin dieser den Vorwurf zurückwies, Ge- fälligkeitszeugnisse ausgestellt zu haben (Vorakten des DGS 1 ff.). Ange- sichts der drohenden Einstellung der materiellen Hilfe war es gerechtfertigt, dass sich der Rechtsvertreter in der Replik nicht nur mit der Beschwerde- antwort der Sozialkommission vom 22. März 2021 (Vorakten des DGS 41 ff.) auseinandersetzte, sondern den Standpunkt der Beschwerde- führer nochmals eingehend darlegte. In Anbetracht der laienhaften und ru- dimentären Beschwerdeschrift gehörte die Abfassung einer ausführlichen Replik zu den notwendigen und üblichen Leistungen des Anwalts (vgl. § 2 AnwT). Die von der Vorinstanz zugesprochene Parteientschädigung von Fr. 1'000.00 erweist sich daher als zu tief. Es rechtfertigt sich, dem Rechts- vertreter etwa zwei Drittel des Honorars für ein vollständig durchgeführtes Verfahren zuzusprechen. Es ist davon auszugehen, dass zwar im Zusam- menhang mit dem Aktenstudium und der Erstellung einer Rechtsschrift die üblichen Aufwendungen entstanden, aufgrund des späten Beizugs aber für Instruktion, Korrespondenz und Telefongespräche tendenziell weniger Auf- wand anfiel. Zudem erfolgte keine weitere Rechtsschrift und fand keine Verhandlung statt. Im Ergebnis ergibt sich für das Verwaltungsbeschwer- deverfahren eine Parteientschädigung von gerundet Fr. 2'500.00. Sie wird als Gesamtbetrag festgesetzt. Auslagen und Mehrwertsteuer sind darin enthalten (§ 8c AnwT). 1.3. Das in der Kostennote des Beschwerdeführers 2 ausgewiesene Honorar von Fr. 3'875.75 wäre für ein vollständig durchgeführtes Verfahren in etwa angebracht gewesen, erweist sich aber vorliegend als überhöht (vgl. Be- schwerdebeilage 10; vorne Erw. 1.2). Soweit auf den AnwT verwiesen wird, lässt die Kostennote ausser Acht, dass Rechtsanwalt C. erst im Hinblick auf den zweiten Schriftenwechsel tätig wurde. Im Übrigen ist es nicht tarifkonform, ausschliesslich auf den Zeitaufwand abzustellen. Im Hinblick auf die Festlegung der Parteientschädigung war die Vorinstanz nicht gehalten, vom Rechtsvertreter der Beschwerdeführer 1.1 und 1.2 eine Kos- tennote einzuholen (vgl. Verwaltungsgerichtsbeschwerde, S. 7); es wurde kein Honorar aus unentgeltlicher Rechtsvertretung zugesprochen (vgl. § 12 AnwT). 2. Zusammenfassend erweist sich die Beschwerde als teilweise begründet. Im vorinstanzlichen Verfahren rechtfertigt sich eine Parteientschädigung von Fr. 2'500.00. Im Übrigen ist die Beschwerde abzuweisen, soweit darauf eingetreten werden darf.</w:t>
      </w:r>
    </w:p>
    <w:p>
      <w:r>
        <w:t>- 7 - III. 1. 1.1. Der Beschwerdeführer 2 unterliegt vollumfänglich. Die Beschwerdeführer 1.1 und 1.2 erreichen eine Erhöhung ihrer Parteientschädigung vor der Vor- instanz um Fr. 1'500.00 (anstatt um Fr. 2'875.75). Damit obsiegen sie in etwa zur Hälfte und haben in Anwendung von § 31 Abs. 2 VRPG – entspre- chend dem Verfahrensausgang – ebenfalls einen Teil der verwaltungsge- richtlichen Kosten zu tragen. Insgesamt rechtfertigt es sich, den Beschwer- deführern 1.1 und 1.2 sowie dem Beschwerdeführer 2 je einen Viertel der Verfahrenskosten aufzuerlegen. Den Vorinstanzen sind grundsätzlich keine Verfahrenskosten aufzuerlegen (vgl. § 31 Abs. 2 VRPG). 1.2. Die Beschwerdeführer 1.1 und 1.2 ersuchen um unentgeltliche Rechts- pflege. Diese ist ihnen zu gewähren, da sie mittellos sind und ihr Begehren – wie die teilweise Gutheissung zeigt – nicht aussichtslos ist. 1.3. Die Staatsgebühr wird unter Berücksichtigung des Zeitaufwands und der Bedeutung der Sache auf Fr. 1'000.00 festgelegt (vgl. § 3 i.V.m. § 22 Abs. 1 lit. c des Dekrets über die Verfahrenskosten vom 24. November 1987 [Ver- fahrenskostendekret, VKD; SAR 221.150]). Für die Kanzleigebühr und die Auslagen wird auf §§ 25 ff. VKD verwiesen. 2. 2.1. Entsprechend dem Verfahrensausgang und nach der Verrechnung der Par- teikostenanteile besteht kein Anspruch auf eine Parteientschädigung (vgl. § 32 Abs. 2 VRPG; AGVE 2012, S. 223 ff.; 2011, S. 247 ff.; 2009, S. 278 ff.). 2.2. Die Beschwerdeführer 1.1 und 1.2 ersuchen um unentgeltliche Vertretung. Diese ist ihnen zu gewähren, da sie mittellos sind, ihr Begehren sich nicht als aussichtslos erweist und die sich stellenden Fragen den Beizug einer Anwältin rechtfertigten (vgl. § 34 Abs. 1 VRPG). 2.3. Das Honorar der unentgeltlichen Vertretung bestimmt sich nach den glei- chen Grundsätzen wie die Parteientschädigung (vgl. § 10 Abs. 1 AnwT; Entscheid des Verwaltungsgerichts WBE.2021.315/317 vom 16. Februar 2022, Erw. III/2; vorne Erw. II/1.1). Angesichts des Streitwerts von</w:t>
      </w:r>
    </w:p>
    <w:p>
      <w:r>
        <w:t>- 8 - Fr. 2'875.75 sowie des geringeren Aufwands und des beschränkten Pro- zessstoffs ist das Honorar kostendeckend auf Fr. 1'100.00 festzulegen (vgl. § 8a Abs. 1 lit. a Ziffer 1 i.V.m. § 8a Abs. 2 und § 8c AnwT). Von der Ent- schädigung entfällt lediglich die Hälfte auf die Beschwerdeführer 1.1 und 1.2. Die Parteikosten des Beschwerdeführers 2 können nicht über die un- entgeltliche Rechtsvertretung ersetzt werden. Somit ist der unentgeltlichen Rechtsvertreterin ein Honorar von Fr. 550.00 aus der Gerichtskasse zuzu- sprechen. Die Honorarnote vom 16. Februar 2022 stellt auf den Zeitaufwand ab und ist nicht streitwertabhängig. Der Stundenansatz von Fr. 250.00 ist zu hoch. Die Rechnung erweist sich angesichts des beschränkten Prozessstoffs und der finanziellen Bedeutung der Streitigkeit als überhöht. Das Verwaltungsgericht erkennt: 1. In teilweiser Gutheissung der Beschwerde wird Ziffer 3 des Entscheids der Beschwerdestelle SPG vom 5. August 2021 abgeändert und lautet neu wie folgt: 3. Die Beschwerdegegnerin wird verpflichtet, dem Vertreter der Beschwerde- führer die entstehenden Parteikosten in Höhe von Fr. 2'500.00 (inkl. Aus- lagen und MwSt.) zu ersetzen. Im Übrigen wird die Beschwerde abgewiesen, soweit darauf einzutreten ist. 2. Die verwaltungsgerichtlichen Verfahrenskosten, bestehend aus einer Staatsgebühr von Fr. 1'000.00 sowie der Kanzleigebühr und den Auslagen von Fr. 153.00, gesamthaft Fr. 1'153.00, sind von den Beschwerdeführern 1.1 und 1.2 einerseits und vom Beschwerdeführer 2 andererseits je zu ¼ mit Fr. 288.25 zu bezahlen. Die restlichen Verfahrenskosten trägt der Kan- ton. Der den Beschwerdeführern 1.1 und 1.2 auferlegte Betrag geht zu Lasten des Kantons. Die unentgeltlich prozessierenden Beschwerdeführer 1.1 und 1.2 sind zur Nachzahlung an den Kanton Aargau verpflichtet, sobald sie dazu in der Lage sind (§ 34 Abs. 3 VRPG i.V.m. Art. 123 ZPO). 3. Es werden keine Parteikosten ersetzt.</w:t>
      </w:r>
    </w:p>
    <w:p>
      <w:r>
        <w:t>- 9 - Die Obergerichtskasse wird angewiesen, der unentgeltlichen Rechtsvertre- terin der Beschwerdeführer 1.1 und 1.2 die vor Verwaltungsgericht entstan- denen Parteikosten in Höhe von Fr. 550.00 zu ersetzen. Die Beschwerde- führer 1.1 und 1.2 sind zur Nachzahlung an den Kanton Aargau verpflichtet, sobald sie dazu in der Lage sind (§ 34 Abs. 3 VRPG i.V.m. Art. 123 ZPO). Zustellung an: die Beschwerdeführer (Vertreterin) die Sozialkommission Q. das Departement Gesundheit und Soziales (DGS), Kantonaler Sozialdienst, Beschwerdestelle SPG Mitteilung an: die Obergerichtskasse Beschwerde in öffentlich-rechtlichen Angelegenheiten Dieser Entscheid kann wegen Verletzung von Bundesrecht, Völkerrecht, kantonalen verfassungsmässigen Rechten sowie interkantonalem Recht innert 30 Tagen seit der Zustellung mit Beschwerde in öffentlich-rechtli- chen Angelegenheiten beim Schweizerischen Bundesgericht, Schweizerhofquai, 6004 Luzern, angefochten werden. Die Frist steht still vom 7. Tag vor bis und mit 7. Tag nach Ostern, vom 15. Juli bis und mit 15. August und vom 18. Dezember bis und mit 2. Januar. Die unter- zeichnete Beschwerde muss das Begehren, wie der Entscheid zu ändern sei, sowie in gedrängter Form die Begründung, inwiefern der angefochtene Akt Recht verletzt, mit Angabe der Beweismittel enthalten. Der angefoch- tene Entscheid und als Beweismittel angerufene Urkunden sind beizulegen (Art. 82 ff. des Bundesgesetzes über das Bundesgericht [Bundesgerichts- gesetz, BGG; SR 173.110] vom 17. Juni 2005). Aarau, 18. Februar 2022 Verwaltungsgericht des Kantons Aargau 3. Kammer Vorsitz: Gerichtsschreiber: Michel Meier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