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WBE.2021.254 vom 30. August 2023</w:t>
      </w:r>
    </w:p>
    <w:p>
      <w:r>
        <w:t>AG Verwaltungsgericht, 2023-08-30, DE</w:t>
      </w:r>
    </w:p>
    <w:p>
      <w:r>
        <w:rPr>
          <w:b/>
        </w:rPr>
        <w:t xml:space="preserve">Quelle: </w:t>
      </w:r>
      <w:r>
        <w:t>https://mcp.opencaselaw.ch/entscheid/ag_verwaltungsgericht_WBE.2021.254</w:t>
      </w:r>
    </w:p>
    <w:p>
      <w:r>
        <w:t>FR: AG_VERWALTUNGSGERICHT WBE.2021.254 du 30 août 2023</w:t>
      </w:r>
    </w:p>
    <w:p>
      <w:r>
        <w:t>IT: AG_VERWALTUNGSGERICHT WBE.2021.254 del 30 agosto 2023</w:t>
      </w:r>
    </w:p>
    <w:p>
      <w:pPr>
        <w:pStyle w:val="Heading2"/>
      </w:pPr>
      <w:r>
        <w:t>Erwägungen</w:t>
      </w:r>
    </w:p>
    <w:p>
      <w:r>
        <w:rPr>
          <w:b/>
        </w:rPr>
        <w:t>E. 3</w:t>
      </w:r>
    </w:p>
    <w:p>
      <w:r>
        <w:t>An der Sitzung vom 15. Januar 2018 bewilligte der Gemeinderat die auf der Parzelle Nr. aaa errichtete Stützmauer und wies die Einwendung von B. und A. ab. B. Die dagegen erhobene Beschwerde von B. und A. vom 19. Februar 2018 wies das Departement Bau, Verkehr und Umwelt (BVU), Rechtsabteilung, mit Entscheid vom 29. Oktober 2019 ab. C. Auf Weiterzug seitens B. und A. hob das Verwaltungsgericht den Entscheid des BVU, Rechtsabteilung, vom 29. Oktober 2019 sowie die Baubewilligung der Gemeinde Q. vom 15. Januar 2018 mit Urteil WBE.2019.407 vom 23. November 2020 auf.</w:t>
      </w:r>
    </w:p>
    <w:p>
      <w:r>
        <w:t>- 3 - D. Dagegen liess C. am 14. Januar 2021 Beschwerde in öffentlich-rechtlichen Angelegenheiten beim Bundesgericht einreichen, dessen I. öffentlich- rechtliche Abteilung am 30. Juni 2021 den folgenden Entscheid fällte (1C_28/2021):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