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WBE.2021.163 vom 18. August 2022</w:t>
      </w:r>
    </w:p>
    <w:p>
      <w:r>
        <w:t>AG Verwaltungsgericht, 2022-08-18, DE</w:t>
      </w:r>
    </w:p>
    <w:p>
      <w:r>
        <w:rPr>
          <w:b/>
        </w:rPr>
        <w:t xml:space="preserve">Quelle: </w:t>
      </w:r>
      <w:r>
        <w:t>https://mcp.opencaselaw.ch/entscheid/ag_verwaltungsgericht_WBE.2021.163</w:t>
      </w:r>
    </w:p>
    <w:p>
      <w:r>
        <w:t>FR: AG_VERWALTUNGSGERICHT WBE.2021.163 du 18 août 2022</w:t>
      </w:r>
    </w:p>
    <w:p>
      <w:r>
        <w:t>IT: AG_VERWALTUNGSGERICHT WBE.2021.163 del 18 agosto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Es sei auf die Festsetzung eines Gewässerraums auf den Parzellen eee, ddd und bbb bis zur Aare zu verzichten.</w:t>
      </w:r>
    </w:p>
    <w:p>
      <w:r>
        <w:rPr>
          <w:b/>
        </w:rPr>
        <w:t>E. 4</w:t>
      </w:r>
    </w:p>
    <w:p>
      <w:r>
        <w:t>m, gemessen ab dem Rand der Gerinnesohle, zu beschränken.</w:t>
      </w:r>
    </w:p>
    <w:p>
      <w:r>
        <w:rPr>
          <w:b/>
        </w:rPr>
        <w:t>E. 4.00</w:t>
      </w:r>
    </w:p>
    <w:p>
      <w:r>
        <w:t>m Breite) von der südlichen Parzellenecke der Liegenschaft Q. ddd zur Z-Strasse und auf Liegenschaft Q. eee (Gärten) in der Zone OeBA-A statt der Wohnzone W2 aufzuheben. 2. Es sei der Genehmigungsentscheid des Regierungsrats vom 24. März 2021 hinsichtlich der Festsetzung eines Gewässerraums auf den Lie- genschaften Q. eee, ddd und bbb bis zur Aare aufzuheben. 3. Eventualiter sei der Gewässerraum auf eine Breite von 4.00 m, gemes- sen ab dem Rand der Gerinnesohle, zu beschränken. 4. Es sei die Sache zum Neuentscheid an die Vorinstanzen zurückzuwei- sen.</w:t>
      </w:r>
    </w:p>
    <w:p>
      <w:r>
        <w:rPr>
          <w:b/>
        </w:rPr>
        <w:t>E. 5</w:t>
      </w:r>
    </w:p>
    <w:p>
      <w:r>
        <w:t>Unter Kosten- und Entschädigungsfolgen. 2. In seiner Verfügung vom 11. Mai 2021 führte der instruierende Verwal- tungsrichter aus, das unter anderem gegen ihn gestellte Ausstandsbegeh- ren (Ziffer A.1) erscheine a priori unbegründet, weshalb er selber die In- struktion an die Hand nehme. Dem Beschwerdeführer stehe es frei, bezüg- lich der behaupteten Ausstandspflicht einen Zwischenentscheid zu verlan- gen. 3. In der Beschwerdeantwort vom 7. Juni 2021 stellte das Departement Bau, Verkehr und Umwelt (BVU), Rechtsabteilung, namens des Regierungsrats folgende Anträge: Die Verwaltungsbeschwerde sei, mit folgenden Ausnahmen, abzuweisen, unter Kosten- und Entschädigungsfolge. Der Antrag um Gewährung der aufschiebenden Wirkung (Antrag A. 2.) sei nur gutzuheissen betreffend derjenigen Gebiete bzw. Zonierungen, welche</w:t>
      </w:r>
    </w:p>
    <w:p>
      <w:r>
        <w:t>- 5 - von dem Rechtsbegehren C.1. (Zonierung eines Erschliessungskorridors von der südlichen Parzellenecke der Liegenschaft Q. ddd zur Z-Strasse und auf Liegenschaft Q. eee [Gärten]) und C.2. (Festsetzung eines Gewässerraums auf den Liegenschaften Q. eee, ddd und bbb bis zur Aare) betroffen sind (vgl. dazu etwa Entscheid des Verwaltungsgerichts des Kantons Aargau [VGE] vom 21. April 2021 [WBE.2020.139], S. 4). Es werden keine Anträge gestellt zu den Beschwerdeanträgen A. 3. (öffentliche Verhandlung nach Art. 6 EMRK) und A. 4. (Augenschein). 4. Die Einwohnergemeinde Q. beantragte in der Beschwerdeantwort vom 13. August 2021: Begehren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