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WBE.2020.440 vom 18. Juli 2022</w:t>
      </w:r>
    </w:p>
    <w:p>
      <w:r>
        <w:t>AG Verwaltungsgericht, 2022-07-18, DE</w:t>
      </w:r>
    </w:p>
    <w:p>
      <w:r>
        <w:rPr>
          <w:b/>
        </w:rPr>
        <w:t xml:space="preserve">Quelle: </w:t>
      </w:r>
      <w:r>
        <w:t>https://mcp.opencaselaw.ch/entscheid/ag_verwaltungsgericht_WBE.2020.440</w:t>
      </w:r>
    </w:p>
    <w:p>
      <w:r>
        <w:t>FR: AG_VERWALTUNGSGERICHT WBE.2020.440 du 18 juillet 2022</w:t>
      </w:r>
    </w:p>
    <w:p>
      <w:r>
        <w:t>IT: AG_VERWALTUNGSGERICHT WBE.2020.440 del 18 luglio 2022</w:t>
      </w:r>
    </w:p>
    <w:p>
      <w:pPr>
        <w:pStyle w:val="Heading2"/>
      </w:pPr>
      <w:r>
        <w:t>Erwägungen</w:t>
      </w:r>
    </w:p>
    <w:p>
      <w:r>
        <w:rPr>
          <w:b/>
        </w:rPr>
        <w:t>E. 2</w:t>
      </w:r>
    </w:p>
    <w:p>
      <w:r>
        <w:t>Es werden keine Gebühren erhoben.</w:t>
      </w:r>
    </w:p>
    <w:p>
      <w:r>
        <w:rPr>
          <w:b/>
        </w:rPr>
        <w:t>E. 2.1</w:t>
      </w:r>
    </w:p>
    <w:p>
      <w:r>
        <w:t>Die Vorinstanz hält im angefochtenen Entscheid zusammengefasst fest, dass die Niederlassungsbewilligung bei Nichterfüllung der gesetzlichen In- tegrationskriterien widerrufen und durch eine Aufenthaltsbewilligung er- setzt werden könne, wenn eine Aufenthaltsbeendigung unbegründet oder unverhältnismässig wäre. Der Beschwerdeführer sei wiederholt strafrecht- lich in Erscheinung getreten, habe mutwillig Schulden angehäuft und jahrelang schuldhaft Sozialhilfe bezogen. Ihm sei zwar zu Gute zu halten, dass er in den letzten Jahren nicht mehr straffällig geworden sei, sich um den Abbau seiner Schulden bemüht und am 20. Februar 2019 eine existenzsichernde Erwerbstätigkeit aufgenommen habe. Gleichwohl lägen nach wie vor gewichtige Integrationsdefizite vor, welche durch seine ge- sundheitlichen Probleme bzw. seine frühere Alkoholsucht und seine zeit- weilige Arbeitsunfähigkeit nicht entschuldigt würden. Der Beschwerdefüh- rer lebe nach wie vor in sehr knappen finanziellen Verhältnissen und sein jüngst erfolgter Sinneswandel falle mit seinem (inzwischen bewilligten und durch die Rückstufung nicht mehr gefährdeten) Nachzugsbegehren für seine Ehefrau und den angedrohten ausländerrechtlichen Massnahmen zusammen. Aufgrund seiner zuvor sehr lange andauernden unzureichen- den Integration sei weiterhin zu befürchten, dass er nach dem Nachzug seiner Ehefrau erneut von der Sozialhilfe abhängig werde und seine Schul- den nicht mehr zurückzahlen könne. In einer Gesamtschau und in Relation zu seiner Anwesenheitsdauer erscheine die verfügte Rückstufung verhält- nismässig, zumal sein Verhalten über die gesamte Aufenthaltsdauer zu be- rücksichtigen sei. Sodann sei dem Beschwerdeführer zwar ursprünglich le- diglich eine (erneute) Verwarnung in Aussicht gestellt, ihm jedoch danach korrekt das rechtliche Gehör für die letztlich verfügte Rückstufung gewährt worden.</w:t>
      </w:r>
    </w:p>
    <w:p>
      <w:r>
        <w:t>- 8 -</w:t>
      </w:r>
    </w:p>
    <w:p>
      <w:r>
        <w:rPr>
          <w:b/>
        </w:rPr>
        <w:t>E. 2.2</w:t>
      </w:r>
    </w:p>
    <w:p>
      <w:r>
        <w:t>Der Beschwerdeführer macht eine Gehörsverletzung und eine Verletzung von Treu und Glauben bzw. des Prinzips der Rechtssicherheit geltend, da ihm ursprünglich nur eine Verwarnung in Aussicht gestellt, am Ende aber trotz identischer Sach- und Rechtslage die Rückstufung seiner Bewilligung verfügt worden sei. Sein aktuelles Verhalten gebe keinen Anlass für eine Rückstufung und die ihm vorgeworfenen Integrationsdefizite würden haupt- sächlich bzw. ausschliesslich in eine Zeit fallen, wo eine Rückstufung vom Gesetzgeber noch nicht vorgesehen gewesen sei, weshalb eine solche vor- liegend gegen das lex mitior-Prinzip bzw. das Rückwirkungsverbot verstosse und keine Verhaltensänderung mehr bewirken könne. Zudem verweist er darauf, dass seine bereits Jahre zurückliegenden Verurteilun- gen und seine Schulden in engem Zusammenhang mit seiner vor ein paar Jahren überwundenen Alkoholsucht, seiner damaligen psychischen Ver- fassung und familiären Problemen gestanden hätten. Eine regelmässige, existenzsichernde Erwerbstätigkeit habe er erst 2019 mit Unterstützung seiner aktuellen Ehefrau und nach der Überwindung seiner gesundheit- lichen sowie familiärer Probleme aufnehmen können. Die Rückstufung sei heute weder erforderlich noch geeignet, eine Verhaltensänderung bei ihm zu bewirken, jedenfalls aber unverhältnismässig, zumal allfälligen Beden- ken hinsichtlich der Nachhaltigkeit seiner jüngsten Integrationsbe- mühungen bereits mit einer (erneuten) ausländerrechtlichen Verwarnung Rechnung getragen werden könne.</w:t>
      </w:r>
    </w:p>
    <w:p>
      <w:r>
        <w:rPr>
          <w:b/>
        </w:rPr>
        <w:t>E. 3</w:t>
      </w:r>
    </w:p>
    <w:p>
      <w:r>
        <w:t>Eventuell: Es sei der Einspracheentscheid des Rechtsdienstes des Amtes für Migration und Integration vom 18. November 2020 aufzuheben und es sei A. im Sinne von Art. 96 Abs. 2 AIG ausländerrechtlich zu verwarnen. Unter Kosten- und Entschädigungsfolgen zu Lasten des Staates. Die Begründung ergibt sich, soweit erforderlich, aus den nachstehenden Erwägungen. Nach Eingang des einverlangten Kostenvorschusses (act. 36 ff.) hielt die Vorinstanz mit Beschwerdeantwort vom 4. Februar 2021 an ihren Erwägun- gen im angefochtenen Einspracheentscheid fest und beantragte die Abwei- sung der Beschwerde (act. 45). Die Beschwerdeantwort der Vorinstanz wurden dem Beschwerdeführer mit Instruktionsverfügung vom 5. Februar 2021 zur Kenntnisnahme zugestellt. Es wurde kein weiterer Schriftenwech- sel angeordnet (act. 48 f.). Am 6. Juli 2022 erteilte die stellvertretende Gemeindeschreiberin der Ge- meinde U.-V. telefonisch die Auskunft, der Beschwerdeführer wohne noch immer in der Gemeinde und beziehe seit April 2019 keine Sozialhilfe mehr (act. 50).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w:t>
      </w:r>
    </w:p>
    <w:p>
      <w:r>
        <w:t>- 6 -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18. November 2020. Die Zuständigkeit des Verwal- tungsgerichts ist somit gegeben. Auf die frist- und formgerecht eingereichte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Art. 96 mit Hinweisen). In diesem Zusammen- hang hat das Verwaltungsgericht gemäss bundesgerichtlicher Rechtspre- chung insbesondere zu klären, ob die Vorinstanz die gemäss Art. 96 des Bundesgesetzes über die Ausländerinnen und Ausländer vom 16. Dezem- ber 2005 (Ausländergesetz, AuG; SR 142.20) bzw. neu Art. 96 des Bun- desgesetzes über die Ausländerinnen und Ausländer und über die Integra- tion vom 16. Dezember 2005 (Ausländer- und Integrationsgesetz, AIG; SR 142.20) relevanten Kriterien (öffentliche Interessen, persönliche Ver- hältnisse, Integration) berücksichtigt hat und ob diese rechtsfehlerfrei ge- wichtet wurden (vgl. BENJAMIN SCHINDLER, a.a.O., N. 9 zu Art. 96). Schliesslich ist im Rahmen einer Gesamtbetrachtung zu entscheiden, ob die getroffene Massnahme durch ein überwiegendes öffentliches Interesse gerechtfertigt erscheint (sog. Verhältnismässigkeit im engeren Sinn). II. 1. Vorab ist festzuhalten, dass das AuG per 1. Januar 2019 revidiert und zum AIG umbenannt wurde (Änderung vom 16. Dezember 2016; AS 2017 6521, 2018 3171; Bundesblatt [BBl] 2013 2397, 2016 2821). Seither wurden wei- tere Bestimmungen des AIG revidiert. Das MIKA stellte dem Beschwerdeführer mit Schreiben vom 20. Septem- ber 2019 zunächst eine erneute Verwarnung in Aussicht, bevor es ihm am 26. März 2020 mitteilte, stattdessen eine Rückstufung seiner Bewilligung in</w:t>
      </w:r>
    </w:p>
    <w:p>
      <w:r>
        <w:t>- 7 - Betracht zu ziehen (MI-act. 357 f.). Da die erneute Gewährung des recht- lichen Gehörs (und auch die wiedererwägungsweise erfolgte Aufhebung der zuvor bereits verfügten Rückstufung) einzig dazu diente, eine Gehörs- verletzung aufgrund der abgeänderten ausländerrechtlichen Massnahme zu vermeiden, bestimmt sich das anwendbare materielle Recht vorliegend grundsätzlich nach dem Zeitpunkt der ersten Gehörsgewährung (vgl. dazu ausführlich den Entscheid des Verwaltungsgerichts WBE.2019.361 vom 19. November 2020, Erw. II/2.3.2). Indes finden auf das vorliegende Ver- fahren ohnehin die neuen Bestimmungen des AIG samt den zugleich revi- dierten Bestimmungen der Verordnung über Zulassung, Aufenthalt und Er- werbstätigkeit vom 24. Oktober 2007 (VZAE; SR 142.201) Anwendung, da auch die erste Gehörsgewährung vom 20. September 2019 nach der er- wähnten Gesetzesrevision erfolgte. 2.</w:t>
      </w:r>
    </w:p>
    <w:p>
      <w:r>
        <w:rPr>
          <w:b/>
        </w:rPr>
        <w:t>E. 3.1</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BBl 2013 2397, 2016 2821) neu ins Gesetz eingefügt und per 1. Januar 2019 in Kraft gesetzt. Eine Rück- stufung setzt das Vorliegen eines Rückstufungsgrundes im Sinne von Art. 63 Abs. 2 AIG voraus. Ein solcher liegt vor, wenn sich erweist, dass die betroffene Person eine oder mehrere der Integrationsanforderungen von Art. 58a AIG nicht bzw. nicht mehr erfüllt (zu den einzelnen Integrations- kriterien siehe Art. 77a und 77c–77f VZAE; vgl. Entscheid des Verwal- tungsgerichts WBE.2020.401 vom 27. Juni 2022, Erw. II/5.2.2). Wie bisher kann die Niederlassungsbewilligung einer ausländischen Per- son zudem gestützt auf Art. 63 Abs. 1 AIG (i.V.m. Art. 64 Abs. 1 lit. c AIG) widerrufen und der oder die Betroffene aus der Schweiz weggewiesen wer- den, wenn ein Widerrufsgrund gemäss Art. 63 Abs. 1 AIG vorliegt (Widerruf mit Wegweisung). Die Rückstufung stellt daneben eine eigenständige migrationsrechtliche Massnahme dar und ist nicht als mildere Massnahme zum Widerruf mit Wegweisung zu verstehen. Vielmehr geht der Widerruf</w:t>
      </w:r>
    </w:p>
    <w:p>
      <w:r>
        <w:t>- 9 - mit Wegweisung der Rückstufung vor, sofern ein Widerrufsgrund vorliegt und sich der Widerruf mit Wegweisung als verhältnismässig erweist (vgl. BGE 148 II 1, Erw. 2.4 f.; Entscheid des Verwaltungsgerichts WBE.2020.8 vom 7. Juli 2020, Erw. II/2.5). 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inte- grierte niedergelassene Personen, denen unter dem bisherigen Recht die Niederlassungsbewilligung nicht hätte entzogen werden dürfen, auf eine Aufenthaltsbewilligung zurückstufen zu können, um sie verbindlich an ihre Integrationsverpflichtungen zu erinnern (vgl. BGE 148 II 1, Erw. 2.3.2; Entscheid des Verwaltungsgerichts WBE.2020.8 vom 7. Juli 2020, Erw. II/4.1.3). Rückstufungen können grundsätzlich auch bei Niederlassungsbewilligun- gen verfügt werden, die vor dem 1. Januar 2019 (Inkrafttreten der Rückstu- fungsnorm) erteilt wurden (vgl. BGE 148 II 1, Erw. 2.3.1). Bei der Prüfung des Integrationsdefizits bzw. des Vorliegens eines Rückstufungsgrundes darf zwar auch auf Sachverhaltselemente abgestellt werden, welche sich vor Inkrafttreten der Rückstufungsnorm verwirklicht haben, da Integration und Integrationsdefizite Dauersachverhalte darstellen, welche mit der Ein- reise der betroffenen Person in die Schweiz beginnen und in der Folge an- dauern. Zu einer Rückstufung sollen aber nur ernsthafte Integrationsdefi- zite führen. D.h. es muss ein aktuelles, zu einem erheblichen Teil (auch noch) nach dem 1. Januar 2019 verwirklichtes Integrationsdefizit von einem gewissen Gewicht bestehen (vgl. BGE 148 II 1, Erw. 5.1 und 5.3).</w:t>
      </w:r>
    </w:p>
    <w:p>
      <w:r>
        <w:rPr>
          <w:b/>
        </w:rPr>
        <w:t>E. 3.2.1</w:t>
      </w:r>
    </w:p>
    <w:p>
      <w:r>
        <w:t>Dass ein Widerruf mit Wegweisung im Sinne von Art. 63 Abs. 1 AIG (i.V.m. Art. 64 Abs. 1 lit. c AIG) nicht in Betracht kommt, ist vorliegend unstrittig (Einspracheentscheid Erw. 3).</w:t>
      </w:r>
    </w:p>
    <w:p>
      <w:r>
        <w:rPr>
          <w:b/>
        </w:rPr>
        <w:t>E. 3.2.2</w:t>
      </w:r>
    </w:p>
    <w:p>
      <w:r>
        <w:t>Hinsichtlich des Vorliegens von Rückstufungsgründen geht die Vorinstanz davon aus, der Beschwerdeführer habe den Rückstufungsgrund von Art. 58a Abs. 1 lit. a AIG i.V.m. Art. 77a Abs. 1 VZAE (Nichtbeachtung der öffentlichen Sicherheit und Ordnung) erfüllt, indem er straffällig geworden sei (vgl. Art. 77a Abs. 1 lit. a VZAE) und mutwillig Schulden angehäuft habe (vgl. Art. 77a Abs. 1 lit. b VZAE; Einspracheentscheid Erw. 6.4). Weiter habe er den Rückstufungsgrund von Art. 58a Abs. 1 lit. d AIG i.V.m. Art. 77e Abs. 1 VZAE (Nichtteilnahme am Wirtschaftsleben) erfüllt, weil er</w:t>
      </w:r>
    </w:p>
    <w:p>
      <w:r>
        <w:t>- 10 - keiner Erwerbstätigkeit nachgegangen sei, sondern mit Sozialhilfe habe un- terstützt werden müssen (Einspracheentscheid Erw. 7.3).</w:t>
      </w:r>
    </w:p>
    <w:p>
      <w:r>
        <w:rPr>
          <w:b/>
        </w:rPr>
        <w:t>E. 3.2.3</w:t>
      </w:r>
    </w:p>
    <w:p>
      <w:r>
        <w:t>Die Vorinstanz wirft dem Beschwerdeführer vor, zwischen 1998 und 2015 insgesamt 13 Mal strafrechtlich verurteilt worden zu sein. Die zugrundelie- genden Delikte beging der Beschwerdeführer zwischen 1997 und 2015. Seine Straffälligkeit stellt somit kein aktuelles Integrationsdefizit dar, wel- ches sich zu einem erheblichen Teil auch noch nach dem 1. Januar 2019 verwirklicht hätte, und bildet folglich keinen Rückstufungsgrund. Gleiches gilt bezüglich der Anhäufung von Schulden. Zwar weist der Be- schwerdeführer gemäss Betreibungsregisterauszug des Betreibungsamtes U.-V. vom 16. September 2019 acht Betreibungen über rund Fr. 18'000.00 und vier nicht getilgte Verlustscheine über rund Fr. 17'000.00 aus (MI- act. 382). Nachdem aber lediglich ein Eintrag aus dem Jahr 2019 datiert und der Beschwerdeführer gegen die in Betreibung gesetzte Forderung Rechtsvorschlag erhoben hat, kann daraus nicht auf ein aktuelles, zu einem erheblichen Teil auch noch nach dem 1. Januar 2019 verwirklichtes Integrationsdefizit geschlossen werden, welches einen Rückstufungsgrund darstellen würde.</w:t>
      </w:r>
    </w:p>
    <w:p>
      <w:r>
        <w:rPr>
          <w:b/>
        </w:rPr>
        <w:t>E. 3.2.4</w:t>
      </w:r>
    </w:p>
    <w:p>
      <w:r>
        <w:t>Was den Bezug von Sozialhilfe anbelangt, steht fest, dass der Beschwer- deführer seit April 2019 weder Sozialhilfe bezieht noch Prämienverbilligung beansprucht. Unter diesen Umständen und weil der Beschwerdeführer seit Februar 2019 wieder einer Erwerbstätigkeit nachgeht, kann ihm aktuell nicht vorgeworfen werden, er nehme nicht am Wirtschaftsleben teil und er- fülle den Rückstufungsgrund von Art. 58a Abs. 1 lit. d AIG. Anders wäre die Situation des Beschwerdeführers dann zu beurteilen, wenn er nach wie vor Sozialhilfe beziehen würde und nicht erwerbstätig wäre. Nur unter diesen Umständen könnte auch auf seine frühere Sozial- hilfeabhängigkeit abgestellt werden.</w:t>
      </w:r>
    </w:p>
    <w:p>
      <w:r>
        <w:rPr>
          <w:b/>
        </w:rPr>
        <w:t>E. 3.2.5</w:t>
      </w:r>
    </w:p>
    <w:p>
      <w:r>
        <w:t>Nachdem aus den Akten nicht auf das Vorliegen weiterer Rückstufungs- gründe geschlossen werden kann, steht fest, dass keine Rückstufungs- gründe erfüllt sind.</w:t>
      </w:r>
    </w:p>
    <w:p>
      <w:r>
        <w:rPr>
          <w:b/>
        </w:rPr>
        <w:t>E. 3.3</w:t>
      </w:r>
    </w:p>
    <w:p>
      <w:r>
        <w:t>Mangels Vorliegens eines Rückstufungsgrundes erweist sich die Rückstu- fung als unzulässig.</w:t>
      </w:r>
    </w:p>
    <w:p>
      <w:r>
        <w:t>- 11 -</w:t>
      </w:r>
    </w:p>
    <w:p>
      <w:r>
        <w:rPr>
          <w:b/>
        </w:rPr>
        <w:t>E. 4</w:t>
      </w:r>
    </w:p>
    <w:p>
      <w:r>
        <w:t>Gleiches gilt für die Anordnung einer Verwarnung unter Androhung der Rückstufung, da diese gemäss Art. 96 Abs. 2 AIG ebenfalls das Vorliegen eines Rückstufungsgrundes voraussetzen würde.</w:t>
      </w:r>
    </w:p>
    <w:p>
      <w:r>
        <w:rPr>
          <w:b/>
        </w:rPr>
        <w:t>E. 5.1</w:t>
      </w:r>
    </w:p>
    <w:p>
      <w:r>
        <w:t>Zeigt sich, dass weder für die Verfügung einer Rückstufung noch für deren förmliche Androhung mittels Verwarnung die Voraussetzungen erfüllt sind, steht es dem MIKA – und im Rahmen des Beschwerdeverfahrens ebenso dem Verwaltungsgericht – dennoch frei, eine ausländische Person zur Än- derung oder Beibehaltung eines bestimmten Verhaltens zu ermahnen und sie auf die andernfalls zu erwartenden migrationsrechtlichen Folgen auf- merksam zu machen. Eine solche Ermahnung kann im Gegensatz zur Ver- warnung im Sinne von Art. 96 Abs. 2 AIG formlos ergehen, d.h. sie muss nicht anfechtbar verfügt oder entschieden werden (vgl. BENJAMIN SCHINDLER, a.a.O., N. 22 zu Art. 96).</w:t>
      </w:r>
    </w:p>
    <w:p>
      <w:r>
        <w:rPr>
          <w:b/>
        </w:rPr>
        <w:t>E. 5.2</w:t>
      </w:r>
    </w:p>
    <w:p>
      <w:r>
        <w:t>Vorliegend erweist sich die förmliche Verwarnung des Beschwerdeführers unter Androhung der Rückstufung als unzulässig. Gleichwohl sind beim Be- schwerdeführer insbesondere in wirtschaftlicher Hinsicht gewisse Integra- tionsdefizite auszumachen und er ist nachdrücklich anzuhalten, sich wei- terhin um seine wirtschaftliche Integration zu bemühen, ansonsten es dem MIKA freistünde, seinen Aufenthaltsstatus zu gegebenem Zeitpunkt erneut in Frage zu stellen. Vor diesem Hintergrund ist eine formlose Ermahnung des Beschwerdeführers angezeigt.</w:t>
      </w:r>
    </w:p>
    <w:p>
      <w:r>
        <w:rPr>
          <w:b/>
        </w:rPr>
        <w:t>E. 6</w:t>
      </w:r>
    </w:p>
    <w:p>
      <w:r>
        <w:t>Nach dem Gesagten erweist sich die Rückstufung des Beschwerdeführers als unzulässig, weshalb die Beschwerde gutzuheissen und der Einsprache- entscheid vom 18. November 2020 aufzuheben ist. Der Beschwerdeführer wird ermahnt, inskünftig weiterhin einer Erwerbstä- tigkeit nachzugehen und seinen Lebensunterhalt selbständig zu bestreiten, ansonsten er – grundsätzlich und in den Schranken der Verhältnismässig- keit – mit dem Widerruf seiner Niederlassungsbewilligung unter ersatzwei- ser Erteilung einer Aufenthaltsbewilligung zu rechnen hat. III. 1. Gemäss § 31 Abs. 2 VRPG werden die Verfahrenskosten in der Regel nach Massgabe des Unterliegens und Obsiegens auf die Parteien verlegt. Gleiches gilt gemäss § 32 Abs. 2 VRPG für die Parteikosten.</w:t>
      </w:r>
    </w:p>
    <w:p>
      <w:r>
        <w:t>- 12 - 2.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keine weiteren Eingaben notwendig waren und keine Verhandlung durchgeführt wurde, rechtfertigt es sich, die Entschädigung auf Fr. 3'000.00 (inkl. Auslagen und MwSt.) festzusetzen. Das MIKA ist dementsprechend anzuweisen, dem Beschwerdeführer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