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WBE.2019.132 vom 10. Juli 2019</w:t>
      </w:r>
    </w:p>
    <w:p>
      <w:r>
        <w:t>AG Verwaltungsgericht, 2019-07-10, DE</w:t>
      </w:r>
    </w:p>
    <w:p>
      <w:r>
        <w:rPr>
          <w:b/>
        </w:rPr>
        <w:t xml:space="preserve">Quelle: </w:t>
      </w:r>
      <w:r>
        <w:t>https://mcp.opencaselaw.ch/entscheid/ag_verwaltungsgericht_WBE.2019.132</w:t>
      </w:r>
    </w:p>
    <w:p>
      <w:r>
        <w:t>FR: AG_VERWALTUNGSGERICHT WBE.2019.132 du 10 juillet 2019</w:t>
      </w:r>
    </w:p>
    <w:p>
      <w:r>
        <w:t>IT: AG_VERWALTUNGSGERICHT WBE.2019.132 del 10 luglio 2019</w:t>
      </w:r>
    </w:p>
    <w:p>
      <w:pPr>
        <w:pStyle w:val="Heading2"/>
      </w:pPr>
      <w:r>
        <w:t>Regeste</w:t>
      </w:r>
    </w:p>
    <w:p>
      <w:r>
        <w:t>Wiedererwägung; Eintreten; DNA-Gutachten Anspruch auf Eintreten auf Gesuch um Familiennachzug für den Ehemann, wenn aufgrund eines neuen DNA-Verfahrens (mtDNA) bewiesen werden kann, dass die Verwandtschaft der Ehegatten ausgeschlossen ist (Erw. 2 f.)</w:t>
      </w:r>
    </w:p>
    <w:p>
      <w:pPr>
        <w:pStyle w:val="Heading2"/>
      </w:pPr>
      <w:r>
        <w:t>Erwägungen</w:t>
      </w:r>
    </w:p>
    <w:p>
      <w:r>
        <w:rPr>
          <w:b/>
        </w:rPr>
        <w:t>E. 1</w:t>
      </w:r>
    </w:p>
    <w:p>
      <w:r>
        <w:t>Einspracheentscheide des MIKA können innert 30Tagen seit Zustellung mit Beschwerde an das Verwaltungsgericht weitergezo gen werden (§9 Abs.1 EGAR). Beschwerden sind schriftlich einzu reichen und müssen einen Antrag sowie eine Begründung enthalten; der angefochtene Entscheid ist anzugeben, allfällige Beweismittel sind zu bezeichnen und soweit möglich beizulegen (§2 Abs.1 EGAR i.V.m. §43 VRPG). Die vorliegende Beschwerde richtet sich gegen den Einsprache entscheid der Vorinstanz vom 15.März 2019. Die Zuständigkeit des Verwaltungsgerichts ist somit gegeben. Auf die frist und formge recht eingereichte Beschwerde ist daher einzutreten.</w:t>
      </w:r>
    </w:p>
    <w:p>
      <w:r>
        <w:rPr>
          <w:b/>
        </w:rPr>
        <w:t>E. 2</w:t>
      </w:r>
    </w:p>
    <w:p>
      <w:r>
        <w:t>Dem Antwortschreiben des Instituts für Rechtsmedizin der Uni versität D. vom 20.Juni 2019 ist zu entnehmen, dass die mit Gutach ten VS Nr.: X. angewandte Methode des Einbezugs der mitochondri alen DNA (mtDNA) erstmals im Jahr 2016 angewandt worden sei, jedoch nur in einzelnen Spezialfällen zur Feststellung der Identität von unbekannten Leichen. Erst im Jahr 2017 seien erste Gutachten im Rahmen von Abstammungsabklärungen erstellt worden, bei denen auch die Analyse der mtDNA miteinbezogen worden sei, wobei der vorliegende Fall zu diesen Fällen gehöre, bei denen die Fragestellung die Beurteilung einer möglichen Voll und/oder Halb geschwisterschaft betraf (act.23f.).</w:t>
      </w:r>
    </w:p>
    <w:p>
      <w:r>
        <w:rPr>
          <w:b/>
        </w:rPr>
        <w:t>E. 2.4.1</w:t>
      </w:r>
    </w:p>
    <w:p>
      <w:r>
        <w:t>Das Verwaltungsgericht hatte sich schon verschiedentlich mit der Frage zu befassen, ob für Bauvorhaben im Unterabstand zu einer Strasse eine Ausnahmebewilligung nach §67 Abs.1 BauG erteilt werden kann. Meistens, aber nicht immer, ging es dabei um Bauvor haben privater Bauherren. Nach dem Wortlaut der erwähnten Be stimmung kommt eine Ausnahme nur bei Vorliegen ausserordent licher Verhältnisse oder eines Härtefalls in Betracht, wenn es mit dem öffentlichen Wohl sowie Sinn und Zweck der Rechtssätze ver einbar ist, unter billiger Abwägung der beteiligten Interessen. §67 Abs.1 BauG verlangt somit nicht nur eine Interessenabwägung, son dern setzt kumulativ das Vorliegen ausserordentlicher Verhältnisse oder einer unzumutbaren Härte voraus (AGVE 2006, S.167; VGE vom 19.September 2014 [WBE.2013.537], Erw.II/2.4.1; VGE vom 25.Mai 2010 [WBE.2009.293], Erw.II/4.1). Ein Ausnahmetatbe</w:t>
      </w:r>
    </w:p>
    <w:p>
      <w:r>
        <w:rPr>
          <w:b/>
        </w:rPr>
        <w:t>E. 3</w:t>
      </w:r>
    </w:p>
    <w:p>
      <w:r>
        <w:t>Nach dem Gesagten erhellt klar, dass die Beschwerdeführerin bis zum Einspracheentscheid vom 26.April 2017 nicht in der Lage war, das entsprechende Gutachten vorzulegen. Das genannte Gutach ten ist demzufolge entgegen der im Einspracheentscheid vom 15.März 2019 vertretenen Auffassung als neues Beweismittel zu be trachten. Da gemäss diesem Gutachten nicht vom Vorliegen einer Halbgeschwisterschaft der Ehegatten ausgegangen werden kann, hätte das MIKA auf das Wiedererwägungsgesuch eintreten müssen. Die Beschwerde ist damit gutzuheissen und das Verfahren ist an das MIKA zurückzuweisen, verbunden mit der Anweisung, auf das Wie dererwägungsgesuch einzutreten.</w:t>
      </w:r>
    </w:p>
    <w:p>
      <w:r>
        <w:t>III. 1. Gemäss §31 Abs.2 VRPG werden die Verfahrenskosten in der Regel nach Massgabe des Unterliegens und Obsiegens auf die Par teien verlegt. Gleiches gilt gemäss §32 Abs.2 VRPG für die Partei kosten. 2. Bei diesem Verfahrensausgang obsiegt die Beschwerdeführerin. Nachdem das MIKA weder schwerwiegende Verfahrensmängel be gangen noch willkürlich entschieden hat, sind die Verfahrenskosten auf die Staatskasse zu nehmen (§31 Abs.2 VRPG). Der nicht an waltlich vertretenen Beschwerdeführerin sind keine Parteikosten zu ersetzen.</w:t>
      </w:r>
    </w:p>
    <w:p>
      <w:r>
        <w:t>13 Ausnahmebewilligung zur Unterschreitung des Strassenabstands Die Erteilung einer Ausnahmebewilligung nach §67 Abs.1 BauG kann sich ohne das Vorliegen eines Härtefalls rechtfertigen, wenn namhafte öf fentliche Interessen eine Baute oder Anlage innerhalb des Strassenab stands als angezeigt erscheinen lassen und insofern ausserordentliche Verhältnisse gegeben sind; Zusammenfassung der bisherigen Praxis zu §67 Abs.1 BauG. Aus dem Entscheid des Verwaltungsgerichts, 3.Kammer, vom 22.Februar 2019, in Sachen Einwohnergemeinde A. gegen B., C., D. und Regierungsrat (WBE.2018.147).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