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WBE.2019.108 vom 2. Mai 2019</w:t>
      </w:r>
    </w:p>
    <w:p>
      <w:r>
        <w:t>AG Verwaltungsgericht, 2019-05-02, DE</w:t>
      </w:r>
    </w:p>
    <w:p>
      <w:r>
        <w:rPr>
          <w:b/>
        </w:rPr>
        <w:t xml:space="preserve">Quelle: </w:t>
      </w:r>
      <w:r>
        <w:t>https://mcp.opencaselaw.ch/entscheid/ag_verwaltungsgericht_WBE.2019.108</w:t>
      </w:r>
    </w:p>
    <w:p>
      <w:r>
        <w:t>FR: AG_VERWALTUNGSGERICHT WBE.2019.108 du 2 mai 2019</w:t>
      </w:r>
    </w:p>
    <w:p>
      <w:r>
        <w:t>IT: AG_VERWALTUNGSGERICHT WBE.2019.108 del 2 maggio 2019</w:t>
      </w:r>
    </w:p>
    <w:p>
      <w:pPr>
        <w:pStyle w:val="Heading2"/>
      </w:pPr>
      <w:r>
        <w:t>Regeste</w:t>
      </w:r>
    </w:p>
    <w:p>
      <w:r>
        <w:t>Reformatio in peius; Einspracheverfahren Der Entscheidungsspielraum verbleibt im Einspracheverfahren vollständig bei der ursprünglich verfügenden Behörde, weshalb kein Verbot der reformatio in peius besteht (Erw. 3.2).</w:t>
      </w:r>
    </w:p>
    <w:p>
      <w:pPr>
        <w:pStyle w:val="Heading2"/>
      </w:pPr>
      <w:r>
        <w:t>Erwägungen</w:t>
      </w:r>
    </w:p>
    <w:p>
      <w:r>
        <w:rPr>
          <w:b/>
        </w:rPr>
        <w:t>E. 1</w:t>
      </w:r>
    </w:p>
    <w:p>
      <w:r>
        <w:t>Einspracheentscheide des MIKA können innert 30Tagen seit Zustellung mit Beschwerde an das Verwaltungsgericht weitergezo gen werden (§9 Abs.1 EGAR). Beschwerden sind schriftlich einzu reichen und müssen einen Antrag sowie eine Begründung enthalten; der angefochtene Entscheid ist anzugeben, allfällige Beweismittel sind zu bezeichnen und soweit möglich beizufügen (§2 Abs.1 EGAR i.V.m. §43 VRPG). Da sich die vorliegende Beschwerde gegen den Einspracheent scheid der Vorinstanz vom 22.Februar 2019 richtet, ist die Zustän digkeit des Verwaltungsgerichts gegeben und auf die frist und form gerecht eingereichte Beschwerde ist einzutreten.</w:t>
      </w:r>
    </w:p>
    <w:p>
      <w:r>
        <w:rPr>
          <w:b/>
        </w:rPr>
        <w:t>E. 2</w:t>
      </w:r>
    </w:p>
    <w:p>
      <w:r>
        <w:t>Die Beschwerdeführer bestreiten nicht, dass die Voraussetzun gen für die Anordnung einer Wegweisung grundsätzlich erfüllt sind. Sie beantragen einzig die Verlängerung der Ausreisefrist von 60 auf120Tage. Zur Begründung führen sie an, damit sie im Iran wie der neu anfangen könnten, d.h. eine Wohnung mieten und lebens notwendige Sachen beschaffen könnten, benötigten sie Geld. Sie müssten deshalb auf die Entschädigung der Opferhilfe oder des SEM warten, ansonsten sie mit leeren Händen dastehen würden. Zudem sei ihr Sohn wegen Invalidität auf Hilfe angewiesen. Der genaue Zeitpunkt der Erledigung der Gerichtsverfahren sei nicht bekannt.</w:t>
      </w:r>
    </w:p>
    <w:p>
      <w:r>
        <w:rPr>
          <w:b/>
        </w:rPr>
        <w:t>E. 3.1</w:t>
      </w:r>
    </w:p>
    <w:p>
      <w:r>
        <w:t>Aufgrund der Beschwerde und der damit gestellten Anträge ist nachfolgend einzig zu klären, ob die Vorinstanz die Ausreisefrist zu Recht auf 60Tage ab Erlass der Wegweisungsverfügungen durch das MIKA festgesetzt hat. Die Wegweisung selbst wurde durch die Be schwerdeführer nicht angefochten.</w:t>
      </w:r>
    </w:p>
    <w:p>
      <w:r>
        <w:rPr>
          <w:b/>
        </w:rPr>
        <w:t>E. 3.2</w:t>
      </w:r>
    </w:p>
    <w:p>
      <w:r>
        <w:t>Nachdem die Vorinstanz die erstinstanzlichen Wegweisungsver fügungen dahingehend korrigiert hat, dass die Wegweisungsfrist nicht erst ab Rechtskraft der Verfügungen, sondern bereits ab Erlass der Verfügungen, d.h. ab dem 14.Januar 2019, zu laufen begann und dies für die Beschwerdeführer eine Schlechterstellung bedeutet, ist zunächst zu klären, ob die Vorinstanz befugt ist, eine erstinstanzliche Verfügung zum Nachteil der Betroffenen abzuändern. Das Einspracheverfahren im Migrationsrecht ist kantonalrecht lich in §§7f. EGAR und §40 VRPG geregelt. Es unterliegt damit nicht den Regeln des Beschwerdeverfahrens gemäss den §§41ff. VRPG. Mit anderen Worten kommt §48 Abs.1 VRPG, wonach an gefochtene Entscheide nur unter bestimmten Voraussetzungen zum Nachteil einer Partei abgeändert werden dürfen, nicht zur Anwen dung. Vielmehr entscheidet die Einsprachebehörde, hier die Vorin stanz, gemäss §40 Abs.2 VRPG unter Berücksichtigung der Vor bringen der Partei neu und, e contrario zu §9 EGAR, mit voller Kognition. Der Botschaft des Regierungsrats des Kantons Aargau an den Grossen Rat vom 14.Februar 2007 zum Gesetz über die Verwal tungsrechtspflege (GR07.27, S.52) ist zu §40 VRPG zu entnehmen, dass die Einsprache ein ordentliches, vollkommenes, nicht devolu tives, reformatorisches, selbständiges und prinzipales Rechtsmittel sei. Das Einspracheverfahren im Migrationsrecht ist im Kanton Aargau als Rechtsmittelverfahren ausgestaltet, wobei der Ein spracheentscheid nach Erlass der erstinstanzlichen Verfügung durch dieselbe Verwaltungsbehörde, das MIKA, ergeht. Daran ändert nichts, dass innerhalb des MIKA bislang sämtliche Einspracheent scheide durch den Rechtsdienst des MIKA ergingen und damit orga nisatorisch sichergestellt wurde, dass andere Personen als die ur sprünglich Verfügenden über die Einsprache entschieden haben. Da die Einsprache kein devolutives Rechtsmittel darstellt, geht das Ver fahren nicht an eine Beschwerdeinstanz über, womit der volle Ent scheidungsspielraum bei der ursprünglich verfügenden Behörde ver bleibt, was ebenfalls gegen ein Verbot der reformatio in peius spricht (vgl. THOMAS HÄBERLI, in: BERNHARD WALDMANN/PHILIPPE</w:t>
      </w:r>
    </w:p>
    <w:p>
      <w:r>
        <w:t>WEISSENBERGER [Hrsg.], Praxiskommentar Verwaltungsverfahrens gesetz, 2.Aufl., Zürich/Basel/Genf 2016, Art.62 N6). Nach dem Gesagten steht fest, dass die Vorinstanz befugt war, den Passus "nach Rechtskraft" zu streichen und die erstinstanzlichen Verfügungen des MIKA zum Nachteil der Beschwerdeführer abzuän dern. Anzumerken ist einzig, dass die Ausreisefrist erst mit Eröff nung der Verfügungen zu laufen begann, d.h. am 15.Januar 2019.</w:t>
      </w:r>
    </w:p>
    <w:p>
      <w:r>
        <w:rPr>
          <w:b/>
        </w:rPr>
        <w:t>E. 3.3</w:t>
      </w:r>
    </w:p>
    <w:p>
      <w:r>
        <w:t>Die Beschwerdeführer beantragen eine Verlängerung der Aus reisefrist von 60auf 120Tage. Hierzu ist mit Verweis auf die zutref fenden Ausführungen der Vorinstanz festzuhalten, dass die gestützt auf Art.64d AuG auf 60Tage festgesetzte Ausreisefrist bereits sehr lange ausgefallen ist. Dies umso mehr, als die Beschwerdeführer be reits Mitte Dezember Kenntnis davon hatten, dass ihr Aufenthalt in der Schweiz nicht erneut verlängert würde. Was die Beschwerde führer dagegen vorbringen, ist nicht geeignet, daran etwas zu ändern. Vielmehr zielen ihre Argumente einzig darauf ab, ihren Aufenthalt zu verlängern, ohne dass absehbar wäre, ob und, wenn ja, wann ihrem Sohn eine Entschädigung durch die Opferhilfe zugesprochen wird. Dass die Beschwerdeführer ihren Sohn noch länger unterstützen wollen, ist zwar verständlich und wäre womöglich unter gesamtwirt schaftlichen Gesichtspunkten gar sinnvoll. Die Beschwerdeführer übersehen aber, dass es nicht darum geht, im Rahmen einer Interes senabwägung die öffentlichen Interessen an einer Wegweisung den privaten Interessen an einem Verbleib in der Schweiz gegenüber zustellen und zu klären, ob ihr privates Interesse an einem Verbleib in der Schweiz überwiegt. Dass die Voraussetzungen für einen Ver bleib der Beschwerdeführer in der Schweiz nicht (mehr) erfüllt sind, haben sie akzeptiert. Wie die Vorinstanz zutreffend ausgeführt hat, ist bei einer Konstellation wie der Vorliegenden nicht länger angezeigt, den Verbleib der Beschwerdeführer in der Schweiz um weitere 60Tage auszudehnen. Das MIKA ist den Beschwerdeführern durch die grosszügige Verlängerung ihrer Visa und die Ansetzung einer langen Ausreisefrist bereits äusserst wohlwollend entgegengekom men.</w:t>
      </w:r>
    </w:p>
    <w:p>
      <w:r>
        <w:rPr>
          <w:b/>
        </w:rPr>
        <w:t>E. 3.4</w:t>
      </w:r>
    </w:p>
    <w:p>
      <w:r>
        <w:t>Zusammenfassend steht fest, dass die Vorinstanz einerseits be fugt war, die erstinstanzlichen Verfügungen des MIKA abzuändern und den Passus "nach Rechtskraft" zu streichen und andererseits kei ne Veranlassung bestand, die Ausreisefrist auf 120Tage auszuweiten. Die Beschwerde ist damit abzuweisen. Die Beschwerdeführer hätten die Schweiz bereits bis zum 16.März 2019 verlassen müssen. Es bleibt dem MIKA überlassen, den Beschwerdeführern mitzuteilen, ab wann sie mit einer zwangs weisen Rückführung zu rechnen haben. III. Bei diesem Verfahrensausgang hätten die Beschwerdeführer die gerichtlichen Verfahrenskosten zu tragen (§31 Abs.2 VRPG). Auf grund der besonderen Umstände und unter Berücksichtigung der fi nanziellen Situation der Beschwerdeführer wird auf die Erhebung von Verfahrenskosten jedoch verzichtet. Ein Parteikostenersatz fällt ausser Betracht (§32 Abs.2 VRPG). 12 Wiedererwägung; Eintreten; DNA Gutachten Anspruch auf Eintreten auf Gesuch um Familiennachzug für den Ehe mann, wenn aufgrund eines neuen DNA Verfahrens (mtDNA) bewiesen werden kann, dass die Verwandtschaft der Ehegatten ausgeschlossen ist (Erw.2f.)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