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WBE.2017.521 vom 23. April 2018</w:t>
      </w:r>
    </w:p>
    <w:p>
      <w:r>
        <w:t>AG Verwaltungsgericht, 2018-04-23, DE</w:t>
      </w:r>
    </w:p>
    <w:p>
      <w:r>
        <w:rPr>
          <w:b/>
        </w:rPr>
        <w:t xml:space="preserve">Quelle: </w:t>
      </w:r>
      <w:r>
        <w:t>https://mcp.opencaselaw.ch/entscheid/ag_verwaltungsgericht_WBE.2017.521</w:t>
      </w:r>
    </w:p>
    <w:p>
      <w:r>
        <w:t>FR: AG_VERWALTUNGSGERICHT WBE.2017.521 du 23 avril 2018</w:t>
      </w:r>
    </w:p>
    <w:p>
      <w:r>
        <w:t>IT: AG_VERWALTUNGSGERICHT WBE.2017.521 del 23 aprile 2018</w:t>
      </w:r>
    </w:p>
    <w:p>
      <w:pPr>
        <w:pStyle w:val="Heading2"/>
      </w:pPr>
      <w:r>
        <w:t>Regeste</w:t>
      </w:r>
    </w:p>
    <w:p>
      <w:r>
        <w:t>Anwaltsprüfung Instrumente wie Lösungsskizzen und Punkteschemen gewährleisten Transparenz und konkretisieren den Bewertungsmassstab bei der schriftlichen Prüfung.</w:t>
      </w:r>
    </w:p>
    <w:p>
      <w:pPr>
        <w:pStyle w:val="Heading2"/>
      </w:pPr>
      <w:r>
        <w:t>Volltext</w:t>
      </w:r>
    </w:p>
    <w:p>
      <w:r>
        <w:t>der ständigen Berufsausübung zuzuordnen, wenn die zwischenstaat liche Ausübung des Anwaltsberufs in der Schweiz an mehr als 90Tagen pro Jahr erfolgt (vgl. KELLERHALS/BAUMGARTNER, a.a.O., Art.27 N3). Es wäre nicht schlüssig, die Eintragung vom Vorliegen einer Aufenthaltsbewilligung abhängig zu machen, welche vorgängig von den Migrationsbehörden zu erteilen wäre und ihrerseits eine (aufenthaltsrechtliche) Niederlassung voraussetzen würde. Das Erfordernis einer Aufenthaltsbewilligung würde die Möglichkeit einer Zweitkanzlei oder Geschäftsniederlassung faktisch ausschlies sen. Diese Rechtsfolge wäre im Bereich der anwaltlichen Dienst leistungen, wo eine Erweiterung der Niederlassungsmöglichkeiten beabsichtigt ist, nicht gerechtfertigt. Die Urteile des Bundesgerichts vom 9.August 2004 (2A.536/2003), Erw.3.2.2 und 4.1, und vom 19.Dezember 2011 (2C_694/2011), Erw.4.4, dürfen daher nicht so verstanden werden, dass in Konstellationen wie der vorliegenden der Eintrag in die öffentliche Liste für Angehörige von EU Mitgliedstaa ten eine Aufenthaltsbewilligung in der Schweiz voraussetzen würde. Nach dem Gesagten hat der Beschwerdeführer Anspruch, in die öffentliche Liste der Angehörigen von Mitgliedstaaten der EU oder der EFTA eingetragen zu werden. 32 Anwaltsprüfung Instrumente wie Lösungsskizzen und Punkteschemen gewährleisten Transparenz und konkretisieren den Bewertungsmassstab bei der schrift lichen Prüfung. Aus dem Entscheid des Verwaltungsgerichts, 3. Kammer, vom 23.April 2018, in SachenA. gegen Anwaltskommission (WBE.2017.521).</w:t>
      </w:r>
    </w:p>
    <w:p>
      <w:r>
        <w:t>Aus den Erwägungen 6. Abschliessend rechtfertigt sich folgender Hinweis: Bei der Be wertung von schriftlichen Prüfungen können insbesondere Lösungs skizzen und Bewertungsschemen zusätzlich Transparenz gewähr leisten (vgl. BVR 2012, S.152, Erw.4.4.3; Urteil des Bundesgerichts vom 2.November 2011 [2D_11/2011], Erw.4). Im Bereich nicht akademischer Fachprüfungen sind mitunter Lösungsschlüssel ge bräuchlich (vgl. VGE vom 6.Oktober 2016 [WBE.2016.180], Erw.II/4). Bei universitären Examensleistungen ist der Einsatz von Punkterastern üblich, welche den Prüfenden und der Rechtsmit telinstanz die Vergleichbarkeit zwischen Prüfungsarbeit und Lösungsschema erleichtern (vgl. BVR 1999, S.349, Erw.3a mit Hinweisen). Musterlösungen und Punkteschemen ermöglichen in ge nereller Hinsicht eine rechtsgleiche Bewertung der Prüfungsarbeiten (vgl. BVR 2010, S.49, Erw.3.3.1). Auch bei schriftlichen Anwalts prüfungen scheint der Einsatz von Instrumenten angezeigt, welche den Bewertungsmassstab konkretisieren. Dadurch wird dem Prüfungsexperten nicht etwa verunmöglicht, den Gesamteindruck in die Benotung einfliessen zu lassen oder im Einzelfall – abweichend vom vorgegebenen Schema – Zusatzpunkte zu vergeben oder Punkt abzüge vorzunehmen. Sie helfen jedoch mit, dass sich die Bewer tungen auf sachliche Gründe stützen sowie transparent, nachvoll ziehbar und rechtsgleich erfolgen. Gleichzeitig gewährleisten sie die Überprüfung in einem allfälligen Rechtsmittelverfahren. Im Hinblick auf mögliche weitere Beschwerdefälle empfiehlt es sich daher, den Korrekturen der schriftlichen Anwaltsprüfungen entsprechende Punkteschemen zu Grunde zu legen.</w:t>
      </w:r>
    </w:p>
    <w:p>
      <w:r>
        <w:t>33 Anerkennung eines ausserkantonalen Fähigkeitsausweises als Notarin oder Notar Die Notariatstätigkeit steht wegen ihrer Nähe zu staatlichen Aufgaben nicht unter dem Schutz der Wirtschaftsfreiheit (Art.27 BV). Das FZA gilt nicht für den Beruf des Notars, weshalb aus dem im BGMB statuierten Grundsatz, wonach Inländerdiskriminierungen zu vermeiden sind, nicht abgeleitet werden kann, das BGBM schreibe den Kantonen vor, ob und unter welchen Voraussetzungen sie ausserkantonale Fähigkeitsausweise als Notarin oder Notar anerkennen müssen. Auch mit Rücksicht auf das Diskriminierungsverbot dürfen die Kantone bei der Anerkennung ausser kantonaler Fähigkeitsausweise als Notarin oder Notar die Gleichwertig keit der ausserkantonalen Notariatsprüfung beurteilen. Dabei ist aller dings das Gleichbehandlungsgebot (Art.8 Abs.1 BV) zu beachten. Gibt es sachliche Gründe für die Verneinung der Gleichwertigkeit der ausserkantonalen Notariatsprüfung, darf die Anerkennung des ausser kantonalen Fähikgkeitsausweises verweigert werden. Es verletzt jedoch den Gleichbehandlungsgrundsatz, wenn einer Inhaberin eines ausser kantonalen Fähigkeitsausweises mit langjähriger beruflicher Praxis als Notarin keine Erleichterungen bei der Ablegung einer ergänzenden Nota riatsprüfung im Kanton Aargau gewährt werden und ein zusätzliches be rufsspezifsches Praktikum im Kanton Aargau verlangt wird, obwohl die Anerkennungsvoraussetzungen hinsichtlich der praktischen Ausbildung im Herkunftskanton erfüllt sind. Aus den Entscheid des Verwaltungsgerichts, 3. Kammer, vom 21.August 2018, in SachenA. gegen Notariatskommission (WBE.2018.36). Aus den Erwägungen 1. Die Vorinstanz verweigerte der Beschwerdeführerin die Aner kennung des zugerischen Fähigkeitsausweises als Notarin unter Zu grundelegung von §8 Abs.2 BeurG und §8 Abs.1 BeurV mit der Begründung, die Notariatsprüfung im Kanton Zug könne nicht als gleichwertig mit derjenigen im Kanton Aargau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