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WBE.2017.224 vom 1. März 2018</w:t>
      </w:r>
    </w:p>
    <w:p>
      <w:r>
        <w:t>AG Verwaltungsgericht, 2018-03-01, DE</w:t>
      </w:r>
    </w:p>
    <w:p>
      <w:r>
        <w:rPr>
          <w:b/>
        </w:rPr>
        <w:t xml:space="preserve">Quelle: </w:t>
      </w:r>
      <w:r>
        <w:t>https://mcp.opencaselaw.ch/entscheid/ag_verwaltungsgericht_WBE.2017.224</w:t>
      </w:r>
    </w:p>
    <w:p>
      <w:r>
        <w:t>FR: AG_VERWALTUNGSGERICHT WBE.2017.224 du 1 mars 2018</w:t>
      </w:r>
    </w:p>
    <w:p>
      <w:r>
        <w:t>IT: AG_VERWALTUNGSGERICHT WBE.2017.224 del 1 marzo 2018</w:t>
      </w:r>
    </w:p>
    <w:p>
      <w:pPr>
        <w:pStyle w:val="Heading2"/>
      </w:pPr>
      <w:r>
        <w:t>Regeste</w:t>
      </w:r>
    </w:p>
    <w:p>
      <w:r>
        <w:t>Art. 36a GSchG; Art. 41a und b sowie ÜbgBest GSchV Der Gewässerraum nach Art. 36a GSchG und Art. 41a und b GSchV ist in einem raumplanerischen Verfahren festzulegen, das eine Würdigung der konkreten Verhältnisse und eine umfassende Interessenabwägung unter Einbezug aller interessierten Kreise, insbesondere auch der betroffenen Grundeigentümer, erlaubt. Denselben Anforderungen unterliegt der Verzicht auf die Festlegung von Gewässerraum (für künstlich angelegte Gewässer). Eine generell-abstrakte Bezeichnung von Gewässerraum oder ein generell-abstrakter Verzicht auf solchen wird diesen Anforderungen nicht gerecht; ebenso wenig eine kantonale Fachplanung, der keine Abklärung der konkreten Verhältnisse und eine umfassende Interessenabwägung vorangegangen ist. Eine auf Stufe der Nutzungsplanung erlassene kommunale Abstandsvorschrift gegenüber einer Gewässerparzelle, mit welcher die in Art. 41a GSchV für den Gewässerraum von Fliessgewässern vorgesehenen Mindestmasse unterschritten werden, ohne dass die einem Verzicht auf die Ausscheidung von Gewässerraum entgegenstehenden (ökologischen) Interessen genügend geprüft und gewürdigt wurden, ist bundesrechtswidrig und muss aufgehoben werden.</w:t>
      </w:r>
    </w:p>
    <w:p>
      <w:pPr>
        <w:pStyle w:val="Heading2"/>
      </w:pPr>
      <w:r>
        <w:t>Erwägungen</w:t>
      </w:r>
    </w:p>
    <w:p>
      <w:r>
        <w:rPr>
          <w:b/>
        </w:rPr>
        <w:t>E. 17</w:t>
      </w:r>
    </w:p>
    <w:p>
      <w:r>
        <w:t>Anlieferungsverbot für ein Ladengeschäft wegen nächtlicher Lärm immissionen Der durch den nächtlichen Güterumschlag eines Verkaufsgeschäfts mit Frischprodukten erzeugte Lärm ist nach Anhang 6 LSV zu beurteilen, auch wenn der Anlieferungsvorgang nur relativ kurz andauert. Eine Ein zelfallbeurteilung direkt gestützt auf das USG (unter Zuhilfenahme der BAFUVollzugshilfe für die Beurteilung von Alltagslärm), mit der Be gründung, Anhang 6 LSV und die dort vorgesehene Ermittlung des mass gebenden Beurteilungspegels (energieäquivalenter Dauerschallpegel) bil deten den Lärm eines nur wenige Minuten andauernden Güterumschlags nicht angemessen ab, drängt sich nicht auf. Der Störungswirkung von Spitzenwerten und der Impulshaltigkeit scheppernder Geräusche kann mit Pegelkorrekturen Rechnung getragen werden. Aus dem Entscheid des Verwaltungsgerichts, 3.Kammer, vom 1.März 2018, in SachenA. AG und B. AG gegen C., Gemeinderat E. und Departement Bau, Verkehr und Umwelt (WBE.2016.390).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