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WBE.2017.218 vom 28. August 2017</w:t>
      </w:r>
    </w:p>
    <w:p>
      <w:r>
        <w:t>AG Verwaltungsgericht, 2017-08-28, DE</w:t>
      </w:r>
    </w:p>
    <w:p>
      <w:r>
        <w:rPr>
          <w:b/>
        </w:rPr>
        <w:t xml:space="preserve">Quelle: </w:t>
      </w:r>
      <w:r>
        <w:t>https://mcp.opencaselaw.ch/entscheid/ag_verwaltungsgericht_WBE.2017.218</w:t>
      </w:r>
    </w:p>
    <w:p>
      <w:r>
        <w:t>FR: AG_VERWALTUNGSGERICHT WBE.2017.218 du 28 août 2017</w:t>
      </w:r>
    </w:p>
    <w:p>
      <w:r>
        <w:t>IT: AG_VERWALTUNGSGERICHT WBE.2017.218 del 28 agosto 2017</w:t>
      </w:r>
    </w:p>
    <w:p>
      <w:pPr>
        <w:pStyle w:val="Heading2"/>
      </w:pPr>
      <w:r>
        <w:t>Regeste</w:t>
      </w:r>
    </w:p>
    <w:p>
      <w:r>
        <w:t>Vollstreckung - Ein Vollstreckungsentscheid wird im verwaltungsgerichtlichen Beschwerdeverfahren aufgehoben, wenn ausnahmsweise ein Anspruch auf Wiederwägung des Sachentscheids wegen wesentlich veränderter Verhältnisse besteht. - Wurde in der Vollstreckungsverfügung zugleich auf ein Wiedererwägungsgesuch nicht eingetreten, obwohl ein Anspruch auf Wiedererwägung besteht, hebt das Verwaltungsgericht den Nichteintretensentscheid im Beschwerdeverfahren gegen den Vollstreckungsentscheid von Amtes wegen auf.</w:t>
      </w:r>
    </w:p>
    <w:p>
      <w:pPr>
        <w:pStyle w:val="Heading2"/>
      </w:pPr>
      <w:r>
        <w:t>Erwägungen</w:t>
      </w:r>
    </w:p>
    <w:p>
      <w:r>
        <w:rPr>
          <w:b/>
        </w:rPr>
        <w:t>E. 4</w:t>
      </w:r>
    </w:p>
    <w:p>
      <w:r>
        <w:t>Zusammenfassend erweist sich das Vorbringen des Beschwerdeführers als begründet. In teilweiser Gutheissung der Be schwerde werden die angefochtenen Vollstreckungsanordnungen auf gehoben. Die Aufhebung des Nichteintretens auf das Wiedererwä gungsgesuch erfolgt von Amtes wegen. Die Angelegenheit wird zur Prüfung des Wiedererwägungsgesuchs an den Gemeinderat zurück gewiesen. Im Übrigen wird auf die Beschwerde nicht eingetreten.</w:t>
      </w:r>
    </w:p>
    <w:p>
      <w:r>
        <w:t>44 Gutachten Im erstinstanzlichen Verwaltungsverfahren ist grundsätzlich keine Beleh rung des Sachverständigen über die Strafbarkeit eines falschen Gutach tens vorzunehmen; eine unzureichende Instruktion des Experten führt nicht zur Unverwertbarkeit des Gutachtens und ist im Rahmen der Be weiswürdigung zu berücksichtigen. Aus dem Entscheid des Verwaltungsgerichts, 3. Kammer, vom 7.Juni 2017, i.S. A. gegen Regierungsrat (WBE.2016.246) Aus den Erwägungen 3. 3.1. In formeller Hinsicht rügt der Beschwerdeführer schliesslich, vor der Erstellung des psychiatrischen Gutachtens sei keine Inpflicht nahme der Gutachterin erfolgt. Die Sachverständige sei zuvor nicht auf die Wahrheitspflicht, das Amtsgeheimnis und die Neutralitäts pflicht hingewiesen worden. Auch ein Hinweis auf die Straffolgen des falschen Gutachtens sei unterblieben. Entgegen den vorinstanzli chen Erwägungen sei die Inpflichtnahme aufgrund des Verweises auf das Zivilprozessrecht Voraussetzung für die Verwertung des Gutach tens. Die Inpflichtnahme habe sich umso mehr aufgedrängt, als das Gutachten der PDAG nicht durch den Chefarzt Dr. B., sondern durch dipl. psych. C., Psychologin FSP Forensik, erstattet worden sei. Es sei nicht verwertbar. 3.2. Gemäss §24 Abs.1 VRPG kann sich die Behörde jener Beweismittel bedienen, die sie nach pflichtgemässem Ermessen zur Ermittlung des Sachverhalts für erforderlich hält. Sie kann insbeson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