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WBE.2016.219 vom 19. Juli 2016</w:t>
      </w:r>
    </w:p>
    <w:p>
      <w:r>
        <w:t>AG Verwaltungsgericht, 2016-07-19, DE</w:t>
      </w:r>
    </w:p>
    <w:p>
      <w:r>
        <w:rPr>
          <w:b/>
        </w:rPr>
        <w:t xml:space="preserve">Quelle: </w:t>
      </w:r>
      <w:r>
        <w:t>https://mcp.opencaselaw.ch/entscheid/ag_verwaltungsgericht_WBE.2016.219</w:t>
      </w:r>
    </w:p>
    <w:p>
      <w:r>
        <w:t>FR: AG_VERWALTUNGSGERICHT WBE.2016.219 du 19 juillet 2016</w:t>
      </w:r>
    </w:p>
    <w:p>
      <w:r>
        <w:t>IT: AG_VERWALTUNGSGERICHT WBE.2016.219 del 19 luglio 2016</w:t>
      </w:r>
    </w:p>
    <w:p>
      <w:pPr>
        <w:pStyle w:val="Heading2"/>
      </w:pPr>
      <w:r>
        <w:t>Regeste</w:t>
      </w:r>
    </w:p>
    <w:p>
      <w:r>
        <w:t>Vorübergehende Einschränkung (Art. 90 StGB) Übermässige Dauer der vorübergehenden Unterbringung eines von einer stationären Massnahme Betroffenen im Bezirksgefängnis</w:t>
      </w:r>
    </w:p>
    <w:p>
      <w:pPr>
        <w:pStyle w:val="Heading2"/>
      </w:pPr>
      <w:r>
        <w:t>Volltext</w:t>
      </w:r>
    </w:p>
    <w:p>
      <w:r>
        <w:t>33 Vorübergehende Einschränkung (Art.90 StGB) Übermässige Dauer der vorübergehenden Unterbringung eines von einer stationären Massnahme Betroffenen im Bezirksgefängnis Aus dem Entscheid des Verwaltungsgerichts, 2. Kammer, vom 19.Juli 2016, i.S.A.K. gegen das Departement Volkswirtschaft und Inneres und Ober staatsanwaltschaft des Kantons Aargau (WBE.2016.219). Aus den Erwägungen 2. 2.1. Gemäss Art.90 Abs.1 StGB darf eine Person, die sich im Voll zug einer Massnahme nach Art.59–61 befindet, nur dann un unterbrochen getrennt von den andern Eingewiesenen untergebracht werden, wenn dies unerlässlich ist: als vorübergehende thera peutische Massnahme (lit.a), zum Schutz des Eingewiesenen oder Dritter (lit.b) oder als Disziplinarsanktion (lit.c). Die Trennung des Beschwerdeführers von anderen Massnahmenpatienten erfolgte ge mäss Anordnung des Amts für Justizvollzug (AJV) aus therapeuti schen Gründen, was grundsätzlich zulässig ist. Eine solche Vorkehr muss jedoch vorübergehender Natur sein, was hauptsächlich nach therapeutischen Gesichtspunkten im Einzelfall festzulegen ist. Eine restriktive Haltung ist hier zweifellos angezeigt (MARIANNE HEER, in: Basler Kommentar Strafrecht I, 3.Auflage, Art.90 N6f.). Der Beschwerdeführer befindet sich nun bereits seit über einem Jahr im Bezirksgefängnis. Von einer vorübergehenden therapeutischen Mass nahme kann nicht mehr gesprochen werden. Schon deshalb wider spricht die verfügte Verlegung in das Bezirksgefängnis Art.90 Abs.1 lit.a StGB und ist aufzuheben.</w:t>
      </w:r>
    </w:p>
    <w:p>
      <w:r>
        <w:t>2.2. Hinzu kommt, dass die Unterbringung im Bezirksgefängnis Ba den auch grundsätzlich der gesetzlichen Regelung widerspricht. 2.2.1. Die stationäre Behandlung eines Täters, für den nach Art.59 StGB eine stationäre Massnahme angeordnet wurde, erfolgt in einer geeigneten psychiatrischen Einrichtung oder einer Massnahmevoll zugseinrichtung (Art.59 Abs.2 StGB). Grundsätzlich ist dann auch eine ununterbrochene Trennung von den anderen Eingewiesenen ge mäss Art.90 Abs.1lit.a–c StGB innerhalb der entsprechenden psychiatrischen Einrichtung oder Massnahmeneinrichtung durchzu führen. Gemäss Art.59 Abs.3 StGB ist der Täter dann, wenn die Ge fahr besteht, dass er flieht oder weitere Straftaten begeht, in einer ge schlossenen Einrichtung zu behandeln. Er kann dabei auch in einer Strafanstalt behandelt werden, sofern die nötige therapeutische Be handlung durch Fachpersonal gewährleistet ist. 2.2.2. Aus dieser gesetzlichen Regelung ergibt sich klar, dass der Tä ter bei Vorliegen von Fluchtgefahr und/oder der Gefahr der Bege hung weiterer Straftaten geschlossen unterzubringen ist. Die ge schlossene Unterbringung kann dabei in einer psychiatrischen Ein richtung, einer Massnahmevollzugseinrichtung oder in einer Strafan stalt erfolgen. Vorausgesetzt ist aber stets, dass die nötige therapeuti sche Behandlung durch Fachpersonal gewährleistet ist. Damit ist auch eine Trennung des Täters von anderen Eingewiesenen nach Art.90 Abs.1 lit.a–c StGB grundsätzlich nur gesetzeskonform, wenn sie innerhalb des Kreises der für den Vollzug einer Massnahme vorgesehenen Einrichtungen (psychiatrische Einrichtung, Massnah mevollzugseinrichtung, Strafanstalt, sofern die nötige therapeutische Behandlung durch Fachpersonal gewährleistet ist) erfolgt. Dabei ist eine Trennung innerhalb der gleichen Einrichtung möglich, aber auch eine Verlegung von einer Strafanstalt in eine psychiatrische Einrich tung/Massnahmevollzugseinrichtung oder umgekehrt eine Verlegung von einer psychiatrischen Einrichtung/Massnahmevollzugseinrich tung in eine Strafanstalt. Vorausgesetzt ist aber immer, dass in der</w:t>
      </w:r>
    </w:p>
    <w:p>
      <w:r>
        <w:t>Einrichtung oder Strafanstalt, in der die Trennung vollzogen wird, die nötige therapeutische Behandlung durch Fachpersonal gewähr leistet ist. Im Bezirksgefängnis, in welches der Beschwerdeführer versetzt wurde, werden in erster Linie Untersuchungs und Sicherheitshaft sowie Freiheitsstrafen von bis zu einem Monat vollzogen. Daneben befinden sich dort Personen die ihre Strafe tageweise oder in Halbge fangenschaft verbüssen und vorläufig Festgenommene sowie Trans portanten. Schliesslich werden auch Personen aufgenommen, die von einer anderen Anstalt zur Verfügung gestellt werden, für die Dauer bis zur Einweisung in eine andere Anstalt (§14 SMV). In einem Be zirksgefängnis bestehen jedoch weder die Räumlichkeiten für eine therapeutische Behandlung noch ist das notwendige Fachpersonal vor Ort. Es findet denn auch für den Beschwerdeführer seit der Ver setzung vom 17.Juli 2015 keine Therapie mehr statt. Bezirksgefäng nisse können nicht für den Vollzug von Massnahmen benutzt werden, solange dort keine Therapie angeboten wird. Die Versetzung ins Be zirksgefängnis erweist sich daher schon wegen des fehlenden Thera pieangebots gemäss Art.59 Abs.3 StGB als unzulässig. 3. 3.1. Nicht beantwortet werden muss hier die Frage, ob allenfalls eine sehr kurzfristige Unterbringung eines Täters, für den eine statio näre Massnahme angeordnet wurde, in einem Bezirksgefängnis mög lich ist. Dies scheint jedenfalls für den Fall einer Disziplinierung oder eine kurze Wartefrist, bevor der Täter in eine andere Einrich tung, welche den Anforderungen von Art.59 Abs.3 StGB genügt, nicht von vornherein ausgeschlossen. Der hier zu beurteilende inzwi schen mehr als ein Jahr dauernde Aufenthalt im Bezirksgefängnis verletzt indessen die gesetzliche Regelung klar und ist daher rasch möglichst zu beenden. (Hinweis: Das Bundesgericht trat auf die gegen diesen Ent scheid erhobene Beschwerde in Strafsachen mit Urteil vom 16.September 2016 [6B_865/2016] nicht ein.)</w:t>
      </w:r>
    </w:p>
    <w:p>
      <w:r>
        <w:t>34 Sozialhilfe; materielle Hilfe des Pflegekindes Im Unterschied zu Kindesschutzmassnahmen besteht bei der frei willigen Platzierung eines Pflegekindes gestützt auf §67 Abs.5 EG ZGB keine Pflicht der Gemeinde zur Bevorschussung des Pflege geldes. Für Vorschussleistungen für vom Pflegegeld abgedeckte Ausgaben gilt das sozialhilferechtliche Subsidiaritätsprinzip. Urteil des Verwaltungsgerichts, 3. Kammer, vom 22.März 2016 in Sachen Einwohnergemeinde A. gegen B. und Departement Gesundheit und Soziales (WBE.2015.387). Aus den Erwägungen 1. Zuständig und zur wirksamen Hilfeleistung verpflichtet ist die Gemeinde am Unterstützungswohnsitz, bei Personen ohne Unter stützungswohnsitz und im Notfall die Gemeinde am Aufenthaltsort der Hilfe suchenden Person (§6 Abs.1 SPG). Für die Bestimmung des Unterstützungswohnsitzes und des Aufenthaltsortes gelten ge mäss §6 Abs.3 SPG die Vorschriften des ZUG. Der Beschwerde gegner steht unter elterlicher Sorge und verfügt über einen Beistand (Art.308 ZGB), er ist aber nicht bevormundet (Art.327a ZGB). Nachdem seine leibliche Mutter den Wohnsitz nach Zürich verlegt hatte, begründete er gemäss Art.7 Abs.3 lit.c ZUG in A. einen eige nen Unterstützungswohnsitz bzw. wurde der zunächst abgeleitete Unterstützungswohnsitz selbständig. Damit war der Gemeinderat A. zuständig, über das Gesuch des Beschwerdegegners um materielle Hilfe zu entscheiden.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