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WBE.2015.280 vom 11. August 2016</w:t>
      </w:r>
    </w:p>
    <w:p>
      <w:r>
        <w:t>AG Verwaltungsgericht, 2016-08-11, DE</w:t>
      </w:r>
    </w:p>
    <w:p>
      <w:r>
        <w:rPr>
          <w:b/>
        </w:rPr>
        <w:t xml:space="preserve">Quelle: </w:t>
      </w:r>
      <w:r>
        <w:t>https://mcp.opencaselaw.ch/entscheid/ag_verwaltungsgericht_WBE.2015.280</w:t>
      </w:r>
    </w:p>
    <w:p>
      <w:r>
        <w:t>FR: AG_VERWALTUNGSGERICHT WBE.2015.280 du 11 août 2016</w:t>
      </w:r>
    </w:p>
    <w:p>
      <w:r>
        <w:t>IT: AG_VERWALTUNGSGERICHT WBE.2015.280 del 11 agosto 2016</w:t>
      </w:r>
    </w:p>
    <w:p>
      <w:pPr>
        <w:pStyle w:val="Heading2"/>
      </w:pPr>
      <w:r>
        <w:t>Regeste</w:t>
      </w:r>
    </w:p>
    <w:p>
      <w:r>
        <w:t>Liegenschaftsunterhaltskosten: Anwendbarkeit der Neubaupraxis Kein Unterhaltsabzug auch bei Geschäftsliegenschaften im Fall einer kompletten Neugestaltung; Gleichsetzung mit Neubau</w:t>
      </w:r>
    </w:p>
    <w:p>
      <w:pPr>
        <w:pStyle w:val="Heading2"/>
      </w:pPr>
      <w:r>
        <w:t>Volltext</w:t>
      </w:r>
    </w:p>
    <w:p>
      <w:r>
        <w:t>Marktwerts) Eigenschaften einer Liegenschaft aus bzw. solche Aus wirkungen sind zumindest ohne Einsatz der geltend gemachten Kos ten im Zusammenhang mit der Abwehr einer Massnahme mit rechtlichen Mitteln mit hoher Wahrscheinlichkeit zu erwarten. Eine solche Beeinträchtigung im Miet und/oder Vermögenswert der von den Beschwerdeführern bewohnten Liegenschaft ist hier – und zwar trotz der in den vorstehend behandelten Verfahren eingereichten Gut achten – weder substanziiert behauptet noch erscheint sie sonst als plausibel. Bei der Liegenschaft der Beschwerdeführer handelt es sich um eine komfortable städtische Wohnliegenschaft in einem verkehrs beruhigten Quartier. Der an der Liegenschaft vorbeiführende Verkehr wird als Folge der Massnahmen zur Erschliessung des Torfeldquar tiers zwar in Zukunft mit einer erheblichen Wahrscheinlichkeit in einem moderaten Ausmass zunehmen. Dass der Miet und/oder Ver mögenswert der Liegenschaft in absehbarer Zukunft deswegen abnehmen oder nicht im gleichen Mass zunehmen wird wie bei Lie genschaften in vergleichbarer Lage ohne Berührtheit durch den in folge des neuen Quartiers "Torfeld Süd" entstehenden Verkehr, ist in dessen äusserst unwahrscheinlich, so dass aus diesem Grund die gel tend gemachten Anwaltskosten nicht als Liegenschaftsunterhalts kosten qualifiziert werden können. Die geltend gemachten Kosten sind nicht abzugsfähig. Das führt zur Abweisung der Verwaltungsge richtsbeschwerde. (Hinweis: Das Bundesgericht wies die gegen diesen Entscheid erhobene Beschwerde in öffentlich rechtlichen Angelegenheiten mit Urteil vom 2.Februar 2017 [2C_690/2016] ab.) 19 Liegenschaftsunterhaltskosten: Anwendbarkeit der Neubaupraxis Kein Unterhaltsabzug auch bei Geschäftsliegenschaften im Fall einer kompletten Neugestaltung; Gleichsetzung mit Neubau</w:t>
      </w:r>
    </w:p>
    <w:p>
      <w:r>
        <w:t>Aus dem Entscheid des Verwaltungsgerichts, 2. Kammer, vom 11.August 2016, i.S.KStA gegen D.V. und S.V. (WBE.2015.280) und D.V. und S.V. ge gen KStA (WBE.2015.279). Aus den Erwägungen 2. 2.1. Gemäss §25 Abs.1 i.V.m. §27 Abs.1 StG sind alle wiederkeh renden und einmaligen Einkünfte steuerbar, namentlich aus Handel, Industrie, Gewerbe, Land und Forstwirtschaft, aus freiberuflicher sowie jeder anderen selbständigen Erwerbstätigkeit. Als Geschäfts vermögen gelten alle Vermögenswerte, die ganz oder vorwiegend der selbständigen Erwerbstätigkeit dienen (§27 Abs.2 StG). Von diesen Einkünften können die geschäfts oder berufsmässig begründeten Kosten abgezogen werden (§36 Abs.1 StG), wozu bei Liegenschaf ten im Geschäftsvermögen auch die Aufwendungen mit werter haltendem Charakter gehören, wie das Spezialverwaltungsgericht richtig festgehalten hat. Hingegen sind die Kosten für die An schaffung, Herstellung oder Wertvermehrung von Gegenständen des Anlagevermögens nicht abzugsfähig, sondern zu aktivieren (§27 Abs.3 StG i.V.m. §68 Abs.1 lit.b Ziff.1 StG). Als geschäfts oder berufsmässig begründete Kosten gelten Vermögensabgänge, die für geschäftliche Zwecke, im Interesse des Unternehmensziels getätigt worden sind. Die Aufwendungen sind abziehbar, wenn sie für die Erzielung der Einkünfte geeignet sind und in engem Zusammenhang mit dieser stehen. Entscheidend ist, ob ein Aufwand in Erwartung einer wirtschaftlichen Gegenleistung erbracht worden ist (PHILIPP FUNK, in: MARIANNE KLÖTI WEBER/DAVE SIEGRIST/DIETER WEBER [HRSG.], Kommentar zum Aargauer Steuergesetz, 4.Auf lage, Bern/Muri 2015, [Kommentar StG] §36 N5). 2.2. Das Spezialverwaltungsgericht hat unabhängig von der An wendbarkeit der Neubaupraxis auf Liegenschaften im Geschäfts vermögen zu Recht festgestellt, dass die Begriffe werterhaltend und</w:t>
      </w:r>
    </w:p>
    <w:p>
      <w:r>
        <w:t>wertvermehrend bei Liegenschaften im Geschäftsvermögen und im Privatvermögen einheitlich ausgelegt werden. 2.2.1. Bei Aufwendungen im Zusammenhang mit bereits zum Ge schäftsvermögen gehörenden Gegenständen des Anlagevermögens stellt sich die Frage, ob diese werterhaltend oder wertvermehrend sind. Führen die Aufwendungen zu einer Wertvermehrung, so besteht in diesem Umfang eine Aktivierungspflicht; dienen sie ausschliess lich der Werterhaltung, so handelt es sich um Aufwendungen, die der Erfolgsrechnung zu belasten sind. Inwieweit die Aufwendungen wertvermehrend (z.B. Umbauten, Modernisierungen) bzw. nur wert erhaltend (z.B. laufende Reparaturen, Unterhalts und Wartungs arbeiten zur Erhaltung der Funktionstüchtigkeit) sind, ist im konkre ten Falle zu beurteilen. Eine Wertvermehrung und damit eine Ver pflichtung zur Aktivierung ist aus handelsrechtlicher und damit auch steuerlicher Sicht nur möglich, wenn der Wert des Vermögensgegen stands über den bisherigen einkommenssteuerlich massgebenden Wert gestiegen ist. In vielen Fällen enthalten Aufwendungen einen wertvermehrenden und einen werterhaltenden Anteil. Die Aufteilung ist den Steuerbehörden im Zusammenhang mit der Veranlagung von natürlichen Personen als Diskussionspunkt bestens bekannt. Bei den juristischen Personen fehlt jedoch die gleiche Brisanz, da nicht akti vierte wertvermehrende Aufwendungen über verminderte Abschrei bungen in den Folgejahren ohnehin in die Erfolgsrechnung, einfach periodenverschoben, Eingang finden (PETER EISENRING, Kommentar StG, §68 N58). Werterhaltende Aufwendungen werden i.d.R. für die laufenden Reparaturen und Unterhaltsarbeiten vorgenommen, währenddessen wertvermehrende Aufwendungen von der Unterneh mung für Umbauten bzw. für die Modernisierung von Betriebsanla gen gemacht werden (PETER BRÜLISAUER/FLURIN POLTERA, in: ZWEIFEL/ATHANAS [Hrsg.], Bundesgesetz über die direkte Bundes steuer, Band I/2a, 2.Auflage, Basel 2008, Art.58 N77). 2.2.2. Die von den BeschwerdeführernII aufgezeigten Unterschiede bei der Besteuerung von Liegenschaften im Geschäftsvermögen ge genüber solchen im Privatvermögen (keine Pauschalierung der</w:t>
      </w:r>
    </w:p>
    <w:p>
      <w:r>
        <w:t>Unterhaltskosten, kein Abzug für Kosten im Zusammenhang mit Umweltschutzmassnahmen und im Bereich des Denkmalschutzes bei Liegenschaften im Geschäftsvermögen sondern Aktivierung dersel ben) sind gesetzliche Ausnahmetatbestände. Die Abgrenzung von wertvermehrenden und werterhaltenden Aufwendungen wird dadurch nicht berührt und gilt auch für das Geschäftsvermögen. Die Beurteilung des Spezialverwaltungsgerichts trifft damit zu. 2.2.3. Die BeschwerdeführerII weisen für ihren Standpunkt ausser dem auf die unterschiedliche Vergleichsbasis bei wertvermehrenden Aufwendungen im Geschäftsvermögen (bisheriger [Einkommens steuer ]Wert der Liegenschaft vor Ausführung der Arbeiten) und im Privatvermögen ([Einkommenssteuer ]Wert im Erwerbszeitpunkt) hin. Dieser Unterschied ist auf das dualistische System der Grund stückgewinnsteuer für Liegenschaften im Privatvermögen zurückzu führen und die Tatsache, dass Liegenschaften im Geschäftsvermögen im Gegensatz zu denjenigen im Privatvermögen ab dem Erwerb abgeschrieben werden können. Die unterschiedliche Vergleichsbasis ändert jedoch nichts an der Art der Beurteilung, ob wertvermehrende oder werterhaltende Aufwendungen vorliegen. 3. 3.1. Die BeschwerdeführerII führen richtig aus, dass bei Liegen schaften im Geschäftsvermögen nur dann eine Aktivierung möglich ist, wenn der Wert des Vermögensgegenstands über den bisherigen steuerlich massgebenden Wert gestiegen ist (EISENRING, a.a.O., §68 N58). Ebenso zutreffend ist, dass alle Kosten für die Vermehrung oder dauernde Verbesserung von Wirtschaftsgütern, welche dem Un ternehmen zur Verfügung stehen, ihm über den Bilanzstichtag hinaus einen Nutzen abwerfen und als Objekte einzeln identifizierbar und bewertbar sind, aktivierungsfähig sind (DIETER EGLOFF, Kommentar StG, §39 N124; siehe auch Urteil des Verwaltungsgerichts des Kan tons Thurgau vom 12.Februar 2014 [VG.2013.88] Erw.2.3.3). Sol che (wertvermehrenden) Investitionen können, im Gegensatz zu den (werterhaltenden) Unterhalts und Reparaturkosten, nicht dem Auf wand der laufenden Geschäftsperiode belastet werden (vgl. ERNST</w:t>
      </w:r>
    </w:p>
    <w:p>
      <w:r>
        <w:t>KÄNZIG, Die direkte Bundessteuer, II. Teil, 2.Auflage, Basel 1982 1992, Art.49 N114). Die Ausgaben für Um und Erweiterungsbau ten bilden wertvermehrenden Aufwand. Ihre Aktivierung ist steuer rechtlich sachgemäss. Auch Grossreparaturen, die die Nutzungsdauer verlängern, sind zu aktivieren (KÄNZIG, a.a.O., Art.49 N170f.). 3.2. Den Beschwerdeführern II ist überdies zuzustimmen, dass für Liegenschaften im Geschäftsvermögen nicht direkt §39 StG zur An wendung kommen kann, sondern gemäss §36StG die Grundsätze des Handelsrechts gelten. Sie übersehen dabei aber, dass bereits von Handelsrechts wegen Anschaffungs oder Herstellungskosten und wertvermehrende Aufwendungen, soweit sie aktivierungsfähig sind, auch aktiviert werden müssen, d.h. aktivierungspflichtig sind (vgl. nunmehr ausdrücklich Art.959 Abs.2 OR [in der Fassung vom 23.Dezember 2011, in Kraft seit 1.Januar 2013] sowie dazu PETER BÖCKLI, Neue OR Rechnungslegung, Zürich 2014, S.74f.; ebenso bereits zum alten Recht PETER LOCHER, Kommentar zum DBG, II.Teil, Basel 2004, Art.58 N87; vgl. ebenfalls zum alten Recht und dem grundsätzlichen Fehlen von Ansatzwahlrechten im schweizeri schen Rechnungslegungsrecht ROLF BENZ, Handelsrechtliche und steuerrechtliche Grundsätze ordnungsmässiger Bilanzierung, Zürich 2000, S.177f.). Entgegen der Auffassung der Beschwerdeführer II hat bereits handelsrechtlich bei einer umfassenden Totalsanierung einer Liegen schaft mit Auskernung und erheblicher Nutzungserweiterung eine Gesamtbetrachtung Platz zu greifen und sind die Kosten insgesamt als Herstellungskosten zu aktivieren. Nichts anderes ergibt sich insbesondere auch aus der von den Beschwerdeführern II angeführ ten Textstelle aus dem Handbuch der Wirtschaftsprüfung (Schwei zerische Treuhandkammer [Hrsg.], Schweizer Handbuch der Wirt schaftsprüfung, Band1, Buchführung und Rechnungslegung, Zürich 2009, S.202). Dort wird ausgeführt, dass bei Umbauten "weniger einzelne Bautätigkeiten, sondern das Projekt als Ganzes" zu beur teilen seien. Das kann nichts anderes heissen, als dass bei einem umfassenden Projekt grundsätzlich die gesamten Kosten als Her stellungskosten aktivierungsfähig und damit auch aktivierungs</w:t>
      </w:r>
    </w:p>
    <w:p>
      <w:r>
        <w:t>pflichtig sind. In der Neuauflage des Handbuchs der Wirtschaftsprü fung (Zürich 2014, S.192), wird denn auch der Fokus sogar noch stärker auf die Gesamtbetrachtung gelegt, wenn es dort zu Umbauten in bestehenden Gebäuden heisst: "Der Bewerter soll in solchen Fäl len zur Beurteilung der Aktivierungsfähigkeit nicht zu eng am Krite rium der Wertvermehrung haften. Bei Umbauten kann eine vorberei tende Bauleistung von an sich wertvermindernder Art dennoch einen Nutzen haben. In diesem Sinne sind weniger einzelne Bautätigkeiten zu beurteilen, sondern das Projekt als Ganzes". Anderes kann und muss nur dann gelten, wenn die umfassende Totalsanierung mit Um bau einer Liegenschaft und die Aktivierung der damit verbundenen Kosten zu einem Buchwert führen würden, der über dem Verkehrs wert liegt (vgl. dazu LUKAS HANDSCHIN, Rechnungslegung im Gesellschaftsrecht, Basel 2013, S.277 Rz 598). Das ist hier aber nicht erkennbar. Die Beschwerdeführer II wollen dagegen (unter Bezugnahme auf die von ihrem Rechtsvertreter stammende Kommentierung von §39 StG; vgl. DIETER EGLOFF, Kommentar StG, §39 N117ff.) auch im Zusammenhang mit der umfassenden Totalsanierung mit Auskernung und Nutzungserweiterung einer Liegenschaft an einer Trias von Kosten, nämlich aktivierungsfähigen Kosten (für die ein Aktivierungswahlrecht bestehen soll), aktivierungspflichtigen Kosten und zuletzt bloss werterhaltenden Investitionen unterscheiden, wobei letztere geschäftsmässig begründeten Aufwand darstellen und dementsprechend steuerlich zu berücksichtigen sein sollen. Diese Unterscheidung überzeugt nicht. Werden Massnahmen, die ansonsten als blosser Gebäudeunterhalt geschäftsmässig begründeten Aufwand darstellen würden, im Rahmen einer umfassenden Neugestaltung einer Liegenschaft vorgenommen, bilden auch diese Massnahmen Bestandteil der Gesamtsanierung und tragen zusammen mit den übri gen Massnahmen zum Gesamtzusatzwert des Vermögensgegenstands bei, über den der Geschäftsinhaber verfügen kann, aus dem ein Mittelzufluss wahrscheinlich ist und dessen Wert (als Ganzes) ver lässlich geschätzt werden kann. Entgegen der Auffassung der Be schwerdeführer II rechtfertigt sich daher bei Totalsanierungen wie der vorliegend zu beurteilenden keine Aufspaltung zwischen aktivie</w:t>
      </w:r>
    </w:p>
    <w:p>
      <w:r>
        <w:t>rungspflichtigen, aktivierungsfähigen und bloss werterhaltenden Massnahmen; dies zumal auch deshalb, weil ein Unterscheidungs kriterium zwischen den verschiedenen Arten von Massnahmen gerade im Zusammenhang mit einer Gesamtsanierung nicht erkenn bar ist: So kann etwa ohne Abbruchkosten gar keine umfassende Neugestaltung stattfinden; diese sind gewissermassen kausale Voraussetzung für die Neugestaltung selbst. Ebenso wäre es kaum nachvollziehbar den Einbau eines neuen Bads oder einer neuen Küche, auf den zu verzichten bei einer Komplettumgestaltung öko nomisch gesehen geradezu sinnwidrig wäre, auch im Rahmen einer Totalsanierung als blosse werterhaltende Massnahme zu betrachten. Dementsprechend ist schon aus handelsrechtlicher Perspektive, die gemäss Wirtschaftsprüferhandbuch einen Blick auf ein "Projekt als Ganzes" verlangt, die von den Beschwerdeführern II vertretene Un terscheidung zwischen verschiedenen Kostenarten abzulehnen (vgl. im Übrigen zur Rechtsgleichheitsproblematik gegenüber Eigen tümern privat gehaltener Liegenschaften hinten Erw.4.4). 3.3. Die BeschwerdeführerII machen weiter geltend, bezüglich des neu erstellten Dachstuhls/Dachs seien 85% als werterhaltend und 15% als wertvermehrend anzusehen. Es seien daher Fr.60'426.00 als geschäftsmässig begründeter Aufwand zum Abzug zuzulassen. Die BeschwerdeführerII verkennen, dass die vorgenommenen baulichen Arbeiten über den Bilanzstichtag hinaus einen Wert bzw. Nutzen behalten. Der Marktwert des Wohnhauses wurde gegenüber dem bisherigen Buchwert durch die Investitionen bleibend verbes sert. Es handelt sich dementsprechend um Herstellungskosten. Insge samt haben die BeschwerdeführerII im Jahr 2007 eine Summe von Fr.467'285.00 in das Wohnhaus investiert. Damit war jedoch der Umbau noch nicht abgeschlossen. Bis im Jahr 2009 beliefen sich die Investitionen auf rund Fr.1,2 Mio. Die BeschwerdeführerII haben das Zweigenerationenhaus in ein Einfamilienhaus umgebaut. Gemäss den Plänen und den Luftaufnahmen wurden in das neu erstellte Dach, welches zudem zwecks Raumgewinns erhöht wurde, beidsei tig grosse Lukarnen eingebaut. Unter dem Dach entstanden neu ein beheizter Wohnraum mit zwei Zimmern, ein Estrichzimmer, ein Vor</w:t>
      </w:r>
    </w:p>
    <w:p>
      <w:r>
        <w:t>raum sowie ein WC. Im Obergeschoss liessen die Beschwerdefüh rerII ein Elternschlafzimmer, zwei Kinderzimmer, ein Büro, ein Ba dezimmer und einen separaten Ankleideraum einbauen. Im ent kernten Erdgeschoss entstand ein grosser offener Raum mit Küche, Esszimmer und Wohnzimmer, davon abgetrennt ein Lagerraum, ein WC und ein weiteres Zimmer. Neu erstellt wurde sodann eine Ter rasse mit teilweiser Glasüberdachung. Offensichtlich liegt hier eine umfassende Gebäudemodernisie rung vor, mit welcher sich längerfristig eine Wertvermehrung gegen über dem Markt und Verkehrswert im Zeitpunkt der Investition ergeben hat. Die Investitionen können daher nicht als Aufwand ver bucht werden, sondern sind zu aktivieren. Bei umfassenden Gebäu demodernisierungen ist anstelle der Einzelbetrachtung eine Ge samtbetrachtung vorzunehmen, da sich aus dem gesamten Projekt eine Wertvermehrung ergibt. Die Aktivierungspflicht bei umfassen den Gebäudemodernisierungen fusst direkt auf dem Handelsrecht, womit auch ohne Anwendung der Neubaupraxis die Kosten des To talumbaus nicht der Erfolgsrechnung belastet werden dürfen. 3.4. Die Sanierung/Neuerstellung des Kachelofens erfolgte ebenfalls im Zuge der umfassenden Gebäudemodernisierung und kann nicht losgelöst davon beurteilt werden. Die Massnahme ist ein Teil des all umfassenden Projekts, bei dem nicht die einzelnen Massnahmen als solche betrachtet werden, sondern das grosse Ganze. Der Minder heitsmeinung im angefochtenen Entscheid liegt eine Gesamt betrachtung zugrunde, wie sie für Liegenschaften im Privatvermögen angewendet wird. Diese Betrachtung muss auch für Liegenschaften im Geschäftsvermögen zur Anwendung gelangen (vgl. unten Erw.4). Handelt es sich wie hier um eine umfassende Gebäudemoderni sierung einer Liegenschaft im Geschäftsvermögen und resultiert daraus eine Wertvermehrung gegenüber dem Markt und Verkehrs wert im Zeitpunkt der Investition, sind sämtliche in diesem Zu sammenhang entstehenden Kosten zu aktivieren. 3.5. Zusammenfassend ergibt sich, dass die Kosten der Gebäudemo dernisierung inklusive Kachelofen zu aktivieren sind und nicht als</w:t>
      </w:r>
    </w:p>
    <w:p>
      <w:r>
        <w:t>Aufwand der Erfolgsrechnung belastet werden können. Die Be schwerde ist bereits aus diesem Grund abzuweisen. Wie nachfolgend aufgezeigt wird, ist die Beschwerde auch unter dem Gesichtspunkt der Anwendbarkeit der Neubaupraxis auf Liegenschaften im Ge schäftsvermögen abzuweisen. 4. Die BeschwerdeführerII bestreiten die Rechtmässigkeit der An wendung der für Liegenschaften im Privatvermögen entwickelten Neubaupraxis auf Liegenschaften im Geschäftsvermögen. Dies widerspreche dem Handelsrecht und dem Grundsatz der Mass geblichkeit der Handelsbilanz und führe zu einer Verletzung des Legalitätsprinzips. 4.1. Wie bereits aufgezeigt (siehe vorne Erw.3), schreibt das Han delsrecht selbst die Aktivierung von Kosten im Zusammenhang mit umfassenden Gebäudemodernisierungen vor. Ein Widerspruch zum Handelsrecht besteht entgegen den BeschwerdeführernII nicht. Die Rechtsfolgen bei der für Liegenschaften im Privatvermögen ent wickelten Neubaupraxis und der vom Handelsrecht vorgeschriebenen Aktivierung von Kosten bei Gebäudemodernisierungen sind iden tisch (kein Abzug der entsprechenden Kosten). Der einzige Unter schied besteht darin, dass für die Praxis bei Liegenschaften im Privatvermögen der Begriff "Neubaupraxis" entwickelt worden ist. Da die Rechtsfolgen dieselben sind, liegt in der Anwendung der Neu baupraxis auf Liegenschaften im Geschäftsvermögen weder eine Ver letzung des Grundsatzes der Massgeblichkeit der Handelsbilanz noch des Legalitätsprinzips. 4.2. Das Spezialverwaltungsgericht hat die Gesamtbetrachtung, res pektive die Neubaupraxis auf Liegenschaften im Geschäftsvermögen mit dem Verweis auf die mittlerweile aufgegebene Dumont Praxis angewendet. Gemäss der vom Bundesgericht zu Liegenschaften im Privatvermögen entwickelten Praxis stellt eine Totalsanierung, die praktisch einem Neubau gleichkommt, aus steuerlicher Sicht eine Herstellung dar, weshalb die damit verbundenen Kosten einkom menssteuerlich nicht absetzbar sind. Auch ein völliger Um oder</w:t>
      </w:r>
    </w:p>
    <w:p>
      <w:r>
        <w:t>Ausbau einer Liegenschaft kommt wirtschaftlich einem Neubau gleich. Wird eine Liegenschaft umgebaut und neuen Zwecken zuge führt, liegt Herstellung vor, wenn die "Renovation" umfangmässig einem Neubau gleichkommt. Das ist insbesondere bei Aushöhlung der Baute oder von Gebäudeteilen mit anschliessender Neugestaltung der Innenraumeinteilung der Fall (Urteil des Bundesgerichts vom 1.Oktober 2015 [2C_460/2015] Erw.4.1 mit weiteren Hinweisen). Diese Praxis stützt sich auf einen Bundesgerichtsentscheid (BGE123II218, Erw.1c) aus dem Jahre 1997: Damit Kosten als Liegenschaftsunterhaltskosten geltend gemacht werden können, ist nach der bundesgerichtlichen Rechtsprechung stets vorausgesetzt, dass die vor der Durchführung der entsprechenden Massnahmen und die nachher bestehende Nutzung im Wesentlichen miteinander ver gleichbar sind. Das Verwaltungsgericht des Kantons Aargau hat auf diese Rechtsprechung in einem Entscheid vom 2.Februar 2011 abgestellt: Liegt nach der "Renovation" ein eigentliches Aliud vor, so stellt sich die Frage nach der Qualifikation der baulichen Massnahmen im Ein zelnen nicht, sondern es ist gesamthaft die Abzugsfähigkeit zu verweigern (WBE.2010.164 Erw.5). Bei Liegenschaften im Privat vermögen kommt im Normalfall bei der Beurteilung von Liegen schaftsunterhaltskosten die Einzelbetrachtung zur Anwendung; die Gesamtbetrachtung ist der Ausnahmefall. Einzig dann, wenn die Lie genschaft als Ganzes oder einzelne Teile der Liegenschaft so grundlegend neu gestaltet werden, dass die Arbeiten einer eigentli chen Neuerstellung gleichkommen oder der Nutzwert der Liegen schaft so merklich erhöht wird, dass die ausgeführten Arbeiten einem Aus oder Umbau der Liegenschaft gleichzusetzen sind, ist eine Ge samtbetrachtung angezeigt (EGLOFF, Kommentar StG, §39 N29). 4.3. Der Umbau des Wohnhauses der BeschwerdeführerII (siehe vorne Erw.3.2) von einem Zweigenerationenhaus in ein Einfamilien haus mit der damit einhergehenden Entkernung und Neueinteilung des Wohnraums ist nicht mehr vergleichbar mit der Situation vor dem Umbau. Die Umbauten im Dachgeschoss stellen zudem den klassischen Fall einer Wohnraumerweiterung dar, deren Kosten als</w:t>
      </w:r>
    </w:p>
    <w:p>
      <w:r>
        <w:t>Herstellungskosten zu qualifizieren sind (Urteil des Bundesgerichts vom 4.September 2014 [2C_153/2014] Erw.3.2). Aufgrund dieser massiven Veränderungen kann auch nicht mehr von einer ver gleichbaren Nutzung gesprochen werden, damit ist entgegen den Beschwerdeführern von einer Nutzungsänderung auszugehen. Auch in Anbetracht der investierten Mittel von rund Fr.1,2 Mio. liegt hier wirtschaftlich betrachtet ein Neubau vor. Wie im vorinstanzlichen Urteil richtig ausgeführt, wendete das Bundesge richt die inzwischen aufgehobene Dumont Praxis, auch auf Liegen schaften im Geschäftsvermögen an (BGE108Ib316), ebenso das Verwaltungsgericht (Entscheid des Verwaltungsgerichts vom 9.April 2003 [BE.2002.239] Erw.4a). Hier handelt es sich zwar nicht um eine Instandstellung einer stark vernachlässigten Liegenschaft son dern um den Totalumbau einer selbst genutzten Liegenschaft, den noch sind die Umstände vergleichbar. In beiden Fällen wird eine Lie genschaft vollständig umgebaut, sodass die Liegenschaft mit dem ur sprünglichen Zustand nicht mehr vergleichbar ist. Aufgrund dieser Gemeinsamkeiten zwischen Dumont Praxis und Neubaupraxis ist es naheliegend, die Neubaupraxis auch auf Liegenschaften im Ge schäftsvermögen anzuwenden. 4.4. Dass Aufwendungen aktiviert werden müssten, welche lediglich dem Unterhalt dienen, trifft entgegen den BeschwerdeführernII, wie bereits dargelegt, vorliegend nicht zu. Durch die vorgenommene To talsanierung kommt der Umbau einem Neubau gleich, bei welchem nicht mehr zwischen werterhaltenden und wertvermehrenden Aufwendungen unterschieden wird. Anstelle der Einzelbetrachtung erfolgt eine Gesamtbetrachtung. Auch in der von den Beschwer deführern II zitierten Stelle im Handbuch für Wirtschaftsprüfer wird bei Umbauten "eher das Projekt als Ganzes und weniger einzelne Bautätigkeiten beurteilt" (Schweizer Handbuch der Wirtschaftsprü fung, Band1, Buchführung und Rechnungslegung, Zürich, S.202). Dass Aufwendungen aktiviert werden müssen, die bei Einzel betrachtung lediglich dem Unterhalt dienen und nicht zu einer Wertvermehrung der Liegenschaft führen, ist gerade der Sinn der Neubaupraxis, da wie der Name schon sagt, ein Neubau ange</w:t>
      </w:r>
    </w:p>
    <w:p>
      <w:r>
        <w:t>nommen wird und sämtliche damit verbundenen Kosten als Her stellungskosten und damit als wertvermehrend zu qualifizieren sind. Würde zudem die Neubaupraxis zwar auf Liegenschaften im Privat vermögen angewendet, nicht aber auf Liegenschaften im Geschäfts vermögen, resultierte daraus eine nicht zu rechtfertigende Un gleichbehandlung. Auch bei Liegenschaften im Privatvermögen können bei der Anwendung der Neubaupraxis Aufwendungen für den Unterhalt nicht zum Abzug gebracht werden. Die entwickelten Grundsätze der Neubaupraxis betreffen Liegenschaften an sich, keine Rolle spielt, ob sich diese nun im Geschäftsvermögen oder Privatver mögen befinden. Würde die Praxis lediglich für Liegenschaften im Privatvermögen gelten, könnte sie durch Gründung einer juristischen Gesellschaft und Einbringung der Liegenschaft einfach umgangen werden. 4.5 Entgegen den BeschwerdeführernII kann somit die Neubaupra xis auf Liegenschaften im Geschäftsvermögen angewendet werden und die Beschwerde erweist sich auch aus diesem Grund als unbegründet. 5. Unter Bezugnahme auf das Rekursverfahren wollen die Be schwerdeführerII eine ausserordentliche Abschreibung vornehmen für den Fall, dass ihr Begehren nicht gutgeheissen wird. Zwar fehlt ein entsprechender formeller Eventualantrag, doch kann ein solcher aus der Beschwerde abgeleitet werden. Das Spezialverwaltungs gericht hat die ausserordentliche Abschreibung abgelehnt, weil die Voraussetzungen für eine nachträgliche Änderung der Bilanz nicht vorliegen würden. Der von den BeschwerdeführernII geltend gemachte Irrtum – sie bringen vor, die Anwendung der Neubaupraxis auf Liegenschaften im Geschäftsvermögen sei nicht voraussehbar gewesen und aufgrund dessen hätten sie keine Veranlassung gehabt, eine ausserordentliche Abschreibung vorzunehmen – ändert nichts. Die Kosten des Umbaus hätten bereits von Handelsrechts wegen aktiviert werden müssen (siehe vorne Erw.3.2). Der Versuch, diese Kosten über die Erfolgsrechnung zu buchen, gründet nicht in einem Irrtum sondern wurde vorgenommen, um damit eine erhebliche</w:t>
      </w:r>
    </w:p>
    <w:p>
      <w:r>
        <w:t>Steuerersparnis zu erzielen. Unter diesen Umständen hat das Spezial verwaltungsgericht mit Verweis auf das Urteil des Bundesgerichts vom 16.August 2012 [2C_29/2012], Erw.2.1 die nachträgliche Än derung der Bilanz zu Recht nicht zugelassen, da Bilanzänderungen, mit denen Wertänderungen zum Ausgleich von Aufrechnungen im Veranlagungsverfahren erfolgen oder die lediglich aus Gründen der Steuerersparnis vorgenommen werden, in der Regel ausgeschlossen sind. Auch die Befürchtung der BeschwerdeführerII, dass der Buch wert der Liegenschaft per 31.Dezember 2007 deutlich höher als der Verkehrswert wäre, kann nicht zu einer nachträglichen Bilanzände rung führen. Anhaltspunkte für eine Überbewertung, welche ange sichts der bestehenden Aktivierungspflicht für die vorgenommenen Investitionen, von den Beschwerdeführern II zu liefern wären, sind nicht erkennbar. Wie das Spezialverwaltungsgericht korrekt festhält, handelt es sich vorliegend um handelsrechtlich aktivierungsfähige und damit auch pflichtige Aufwendungen. Es ist daher nicht einzusehen, weshalb deren Aktivierung zu einer handelsrechtswidri gen Überbewertung des Wohnhauses in der Steuerbilanz führen sollte. Das Wohnhaus kann in den folgenden Steuerperioden weiter hin abgeschrieben werden. Eine ausserordentliche Abschreibung, welche nur dann in Frage kommt, wenn auf Geschäftsvermögen eine ausserordentliche Wertminderung eintritt, ist mangels eines entspre chenden Nachweises durch die BeschwerdeführerII nicht vorzuneh men.</w:t>
      </w:r>
    </w:p>
    <w:p>
      <w:r>
        <w:t>20 Durchsetzungshaft; Haftüberprüfung; Konsumation Wegweisungsent scheid; Subsidiarität der Durchsetzungshaft Verlässt ein Betroffener die Schweiz nachdem gegen ihn eine Weg weisungsverfügung erging und wird er später wegen rechtswidriger Einreise verurteilt, gilt der entsprechende Wegweisungsentscheid als konsumiert und kann nicht mehr als Grundlage für eine migrations rechtliche Administrativhaft dienen. Liegt zwischen den letzten Ausschaffungsversuchen und der Anord nung der Durchsetzungshaft eine erhebliche Zeitspanne (hier rund vier Jahre), ist ein Vollzugshindernis im Sinne von Art.78 Abs.1 AuG erst dann anzunehmen, wenn erneut unbegleitete und gege benenfalls begleitete Ausschaffungsversuche gescheitert sind. Aus dem Entscheid des Einzelrichters des Verwaltungsgerichts, 2.Kammer, vom 12.August 2016, in Sachen Amt für Migration und Integration gegen A. (WPR.2016.131). Aus den Erwägungen 3. 3.1. Zu prüfen ist, ob ein rechtskräftiger Weg oder Ausweisungsent scheid vorliegt. Wegweisungsverfügungen stellen im Gegensatz zu anderen migrationsrechtlichen Verfügungen wie z.B. dem Einreiseverbot, keine Dauerverfügungen dar. Kommt eine betroffene Person der Ver fügung nach oder wird die Verfügung zwangsweise vollzogen, gilt sie als konsumiert. Reist die betroffene Person erneut in die Schweiz ein, ist somit eine neue Wegweisungsverfügung zu erlassen, die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