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WBE.2014.355 vom 19. März 2015</w:t>
      </w:r>
    </w:p>
    <w:p>
      <w:r>
        <w:t>AG Verwaltungsgericht, 2015-03-19, DE</w:t>
      </w:r>
    </w:p>
    <w:p>
      <w:r>
        <w:rPr>
          <w:b/>
        </w:rPr>
        <w:t xml:space="preserve">Quelle: </w:t>
      </w:r>
      <w:r>
        <w:t>https://mcp.opencaselaw.ch/entscheid/ag_verwaltungsgericht_WBE.2014.355</w:t>
      </w:r>
    </w:p>
    <w:p>
      <w:r>
        <w:t>FR: AG_VERWALTUNGSGERICHT WBE.2014.355 du 19 mars 2015</w:t>
      </w:r>
    </w:p>
    <w:p>
      <w:r>
        <w:t>IT: AG_VERWALTUNGSGERICHT WBE.2014.355 del 19 marzo 2015</w:t>
      </w:r>
    </w:p>
    <w:p>
      <w:pPr>
        <w:pStyle w:val="Heading2"/>
      </w:pPr>
      <w:r>
        <w:t>Regeste</w:t>
      </w:r>
    </w:p>
    <w:p>
      <w:r>
        <w:t>Beschwerdeinstanz in Bausachen; Zuständigkeit des Regierungsrats Ist ein Teilentscheid des BVU integrierender Bestandteil einer Baubewilligung und richtet sich der Beschwerdeantrag gegen die Baubewilligung als Ganzes, so ist der Regierungsrat für die Beurteilung der Beschwerde zuständig.</w:t>
      </w:r>
    </w:p>
    <w:p>
      <w:pPr>
        <w:pStyle w:val="Heading2"/>
      </w:pPr>
      <w:r>
        <w:t>Volltext</w:t>
      </w:r>
    </w:p>
    <w:p>
      <w:r>
        <w:t>23 Beschwerdeinstanz in Bausachen; Zuständigkeit des Regierungsrats Ist ein Teilentscheid des BVU integrierender Bestandteil einer Baubewilli gung und richtet sich der Beschwerdeantrag gegen die Baubewilligung als Ganzes, so ist der Regierungsrat für die Beurteilung der Beschwerde zu ständig. Urteil des Verwaltungsgerichts, 3.Kammer, vom 19.März 2015 in Sachen A. gegen B. sowie Gemeinderat C. und Departement Bau, Verkehr und Um welt (WBE.2014.355). Aus den Erwägungen 2. 2.1. Die Zuständigkeit der rechtsanwendenden Behörde ist eine Sachurteilsvoraussetzung und als solche von Amtes wegen zu prüfen (vgl. §8 Abs.1 VRPG). Die Prüfung der Sachurteilsvoraussetzungen von Amtes wegen schliesst die Prüfung, ob auch im vorinstanzlichen Entscheid die Sachurteilsvoraussetzungen vorgelegen haben, ein (BGE 122V 372, Erw.1; 116II 385, Erw.2; VGE III/14 vom 13.April 2011 [WBE.2010.331], S.5; VGEIII/27 vom 19.Juni 2008 [WBE.2006.312], S.6; VGEIII/33 vom 1.Mai 1996 [BE.95.00084], S.4f.; MICHAEL MERKER, Rechtsmittel, Klage und Normenkontroll verfahren nach dem aargauischen Gesetz über die Verwaltungsrechts pflege, Kommentar zu den §§38 72[a]VRPG, Diss., Zürich1998, Vorbemerkungen zu §38 N3f.). Stellt die Rechtsmittelinstanz fest, dass bereits im vorinstanzlichen Verfahren eine Sachurteilsvoraus setzung fehlte, kann der angefochtene Entscheid aus diesem Grund aufgehoben werden. Steht fest, dass die Vorinstanz einen Sachent scheid ausgefällt hat, obwohl dies wegen fehlender Sachurteils</w:t>
      </w:r>
    </w:p>
    <w:p>
      <w:r>
        <w:t>voraussetzungen nicht zulässig gewesen wäre, ist der vorinstanzliche Entscheid selbst dann aufzuheben, wenn dies von keiner Partei verlangt wurde (MERKER, a.a.O., Vorbemerkungen zu §38 N4; vgl. zum Ganzen auch VGEIII/14 vom 13.April 2011 [WBE.2010.331], S.5f.; VGEIII/93 vom 4.September 2001 [BE.2000.00191], S.9f. und VGEIII/128 vom 17.Dezember 2001 [BE.2000.00321], S.8; ferner: FRITZ GYGI, Bundesverwaltungsrechtspflege, 2.Auflage, Bern1983, S.73; ATTILIO R.GADOLA, Das verwaltungsinterne Beschwerdeverfahren, Diss., Zürich1991, S.182; MARTIN BERTSCHI, in: ALAIN GRIFFEL [Hrsg.], Kommentar VRG, 3.Auflage, Zürich/Basel/Genf2014, Vorbemerkungen zu §§19 28a N57; je mit Hinweisen). Wird gegen eine Zuständigkeitsvorschrift verstossen, liegt eine Rechtsverletzung vor, die das Verwaltungs gericht zu prüfen hat (§55 Abs.1 VRPG; VGEIII/14 vom 13.April 2011 [WBE.2010.331], S.6; VGEIII/93 vom 4.September 2001 [BE.2000.00191], S.10). 2.2. (...) 3. 3.1. Der Regierungsrat beurteilt u.a. Beschwerden gegen Entscheide letztinstanzlicher kommunaler Behörden (§50 Abs.1 lit.b VRPG). Er kann seine Entscheidkompetenz oder die Entscheidvorbereitung durch Verordnung delegieren (§50 Abs.2 VRPG). In Ausführung dieser Bestimmung hat der Regierungsrat seine Kompetenz zur Beur teilung von Beschwerden gegen Entscheide der Gemeinderäte u.a. in Anwendung der Bau und Umweltschutzgesetzgebung einschliess lich der Gemeindebauvorschriften und der Vorschriften aus dem Be reich der Wasserversorgung sowie in Anwendung der Gewäs serschutzgesetzgebung an das BVU delegiert (§13 Abs.1 lit.a Ziff.1 und 2 der Verordnung über die Delegation von Kompetenzen des Regierungsrats vom 10.April 2013 [Delegationsverordnung, DelV; SAR153.113]). Wo der angefochtene Entscheid auf einer verbindlichen Weisung oder einem Teilentscheid eines Departements beruht und sich ein Beschwerdeantrag dagegen richtet, bleibt es bei der Zuständigkeit des Regierungsrats (§9 Abs.2 DelV).</w:t>
      </w:r>
    </w:p>
    <w:p>
      <w:r>
        <w:t>Bezüglich der Baugesetzgebung findet sich in §61 BauV ausserdem folgende Regelung: Gegen Entscheide des Gemeinderats in Anwendung der Baugesetzgebung kann innert 30Tagen seit Zustellung beim Departement Bau, Verkehr und Umwelt Beschwerde geführt werden, soweit keine andere Behörde als zuständig erklärt wird (§61 Abs.1 BauV). Beruht der Entscheid des Gemeinderats auf einem Teilentscheid eines Departements und richtet sich ein Be schwerdeantrag gegen diesen Teilentscheid, ist der Regierungsrat zu ständig (§61 Abs.2 BauV). 3.2. Vorliegend beruht die Baubewilligung vom 28.April 2014 auf einem Teilentscheid der Abteilung für Baubewilligungen des BVU vom 24.Juni 2013. Dispositiv Ziff.II/2 der Baubewilligung be stimmt explizit, "Die Verfügung der Abteilung für Baubewilligungen des BVU ist integrierender Bestandteil dieser Bewilligung. Die Auflagen sind einzuhalten.", wobei die konkreten Auflagen in der Folge wörtlich aufgelistet werden. Dass ein Teilentscheid eines Departements vorliegt, auf dem der Baubewilligungsentscheid be ruht, lässt sich damit nicht wegdiskutieren. Entsprechend der Bestim mung von §61 Abs.2 BauV (und auch der Regelung in §9 Abs.2 DelV) ist für eine Beschwerde gegen den Baubewilligungsentscheid deshalb der Regierungsrat zuständig, wenn sich ein Beschwerdean trag gegen diesen Teilentscheid richtet. Nach dem klaren Wortlaut soll explizit der "Beschwerdeantrag" für die Zuständigkeit von Be deutung sein. Die Beschwerdeführerin beantragte vor Vorinstanz, der bau rechtliche Entscheid vom 28.April 2014 (in Sachen Sanierung / Erneuerung [...]) sei aufzuheben und die nachgesuchte Baubewilli gung sei zu verweigern. Der Beschwerdeantrag richtete sich damit gegen den Baubewilligungsentscheid als Ganzes, d.h. auch gegen den kantonalen Teilentscheid, da dieser ja integrierender Bestandteil der Baubewilligung ist (siehe oben). Für die Beurteilung der Be schwerde wäre entsprechend §61 Abs.2 BauV (und §9 Abs.2 DelV) der Regierungsrat und nicht das BVU zuständig gewesen.</w:t>
      </w:r>
    </w:p>
    <w:p>
      <w:r>
        <w:t>Die Vorinstanz und der Rechtsdienst des Regierungsrats folgern die Zuständigkeit demgegenüber aus der Beschwerdebegründung, was jedoch §61 Abs.2 BauV (und §9 Abs.2 DelV) widerspricht. 3.3. (...) 4. Zusammenfassend ist der vorinstanzliche Entscheid aufzuhe ben, da die Vorinstanz trotz fehlender Zuständigkeit einen Sachent scheid ausgefällt hat. Die Sache ist zur Beurteilung an den sachlich zuständigen Regierungsrat zu überweisen. (...) 24 Baubewilligungspflicht; Asylbewerberunterkunft Die Umnutzung eines Mehrfamilienhauses in eine Unterkunft für Asylbe werber gilt als Wohnnutzung und benötigt in der vorliegenden Wohn / Gewerbezone WG3A keine Baubewilligung. Urteil des Verwaltungsgerichts, 3.Kammer, vom 4.Juni 2015 in Sachen Einwohnergemeinde A. gegen Kanton Aargau sowie Gemeinderat A. und De partement Bau, Verkehr und Umwelt (WBE.2014.293). Aus den Erwägungen 2.2. Bauten und Anlagen dürfen nur mit behördlicher Bewilligung errichtet oder geändert werden (Art.22 Abs.1 RPG). Alle Bauten und Anlagen und ihre im Hinblick auf die Anliegen der Raument wicklung, des Umweltschutzes oder der Baupolizei wesentliche Um gestaltung, Erweiterung oder Zweckänderung sowie die Beseitigung von Gebäuden bedürfen der Bewilligung durch den Gemeinderat (§59 Abs.1 BauG). Massstab dafür, ob eine bauliche Massnahme erheblich genug ist, um sie dem Baubewilligungsverfahren zu unter werfen, ist die Frage, ob mit der Realisierung der Baute oder Anlage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