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WBE.2014.145 vom 7. November 2014</w:t>
      </w:r>
    </w:p>
    <w:p>
      <w:r>
        <w:t>AG Verwaltungsgericht, 2014-11-07, DE</w:t>
      </w:r>
    </w:p>
    <w:p>
      <w:r>
        <w:rPr>
          <w:b/>
        </w:rPr>
        <w:t xml:space="preserve">Quelle: </w:t>
      </w:r>
      <w:r>
        <w:t>https://mcp.opencaselaw.ch/entscheid/ag_verwaltungsgericht_WBE.2014.145</w:t>
      </w:r>
    </w:p>
    <w:p>
      <w:r>
        <w:t>FR: AG_VERWALTUNGSGERICHT WBE.2014.145 du 7 novembre 2014</w:t>
      </w:r>
    </w:p>
    <w:p>
      <w:r>
        <w:t>IT: AG_VERWALTUNGSGERICHT WBE.2014.145 del 7 novembre 2014</w:t>
      </w:r>
    </w:p>
    <w:p>
      <w:pPr>
        <w:pStyle w:val="Heading2"/>
      </w:pPr>
      <w:r>
        <w:t>Regeste</w:t>
      </w:r>
    </w:p>
    <w:p>
      <w:r>
        <w:t>§ 40 Abs. 1 lit. a StG Steuerliche Qualifikation eines Leasingsvertrags bzw. der Zinskomponente –Kaufcharakter überwiegt, kein Abzug der Zinskomponente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wird eine Vorbereitungshaft angeordnet.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