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WBE.2013.66 vom 10. März 2014</w:t>
      </w:r>
    </w:p>
    <w:p>
      <w:r>
        <w:t>AG Verwaltungsgericht, 2014-03-10, DE</w:t>
      </w:r>
    </w:p>
    <w:p>
      <w:r>
        <w:rPr>
          <w:b/>
        </w:rPr>
        <w:t xml:space="preserve">Quelle: </w:t>
      </w:r>
      <w:r>
        <w:t>https://mcp.opencaselaw.ch/entscheid/ag_verwaltungsgericht_WBE.2013.66</w:t>
      </w:r>
    </w:p>
    <w:p>
      <w:r>
        <w:t>FR: AG_VERWALTUNGSGERICHT WBE.2013.66 du 10 mars 2014</w:t>
      </w:r>
    </w:p>
    <w:p>
      <w:r>
        <w:t>IT: AG_VERWALTUNGSGERICHT WBE.2013.66 del 10 marzo 2014</w:t>
      </w:r>
    </w:p>
    <w:p>
      <w:pPr>
        <w:pStyle w:val="Heading2"/>
      </w:pPr>
      <w:r>
        <w:t>Regeste</w:t>
      </w:r>
    </w:p>
    <w:p>
      <w:r>
        <w:t>Plakatierung Ersatz bestehender Plakatstellen: Ermessensspielraum der Gemeinde bei der Auslegung eines kommunalen Bewilligungsverbots</w:t>
      </w:r>
    </w:p>
    <w:p>
      <w:pPr>
        <w:pStyle w:val="Heading2"/>
      </w:pPr>
      <w:r>
        <w:t>Volltext</w:t>
      </w:r>
    </w:p>
    <w:p>
      <w:r>
        <w:t>26 Plakatierung Ersatz bestehender Plakatstellen: Ermessensspielraum der Gemeinde bei der Auslegung eines kommunalen Bewilligungsverbots Urteil des Verwaltungsgerichts, 3. Kammer, vom 10. März 2014 in Sachen A. AG gegen Departement Bau, Verkehr und Umwelt sowie Gemeinderat B. (WBE.2013.66) und in Sachen Gemeinderat B. gegen A. AG und Departement Bau, Verkehr und Umwelt sowie Gemeinderat B. (WBE.2013.76). Aus den Erwägungen 1.2. §46 BNO lautet: "(Abs.1 u. 2). 3 Es werden grundsätzlich keine neuen Plakatstellen auf öffentlichen und privaten Grundstücken mehr bewilligt, ausgenommen sind Reklamen mit Ortsbezug. Der Ersatz bestehender Plakatwände ist gestattet. (Abs. 4)" 1.3. (…) 2. (…) 3. 3.1. (…) 3.2. 3.2.1. Entgegen der Vorinstanz wird die Auslegung des Gemeinderats von §46 Abs.3 Satz2 BNO, den "Ersatz bestehender Plakatwände" nur am exakt vorbestehenden Ort zu bewilligen, durchaus vom Wort laut des Gesetzes abgedeckt. Der Normtext selbst äussert sich nicht ausdrücklich zur örtlichen Dimension des Ersatzes, weshalb er Raum sowohl für restriktive als auch für weitere (wohl selbst von einem örtlichen Bezug losgelöste) Interpretationen bereithält. Auch kann der einschränkenden gemeinderätlichen Auslegung des "Ersatzes" im Normengefüge durchaus Sinn abgewonnen werden. So lässt sich das in §46 Abs.3 BNO verankerte System (Verbot neuer Plakatwände ohne Ortsbezug; Gestattung von Ersatzplakatstellen; konzeptbasierte</w:t>
      </w:r>
    </w:p>
    <w:p>
      <w:r>
        <w:t>Bewilligung zusätzlicher Plakatflächen als Ausnahme) durchaus als beabsichtigte Beschränkung der Fremdwerbungsträger auf die im Er lasszeitpunkt konkret bestehenden – und in ihrem Bestand aber ge schützten – Standorte im Interesse des Ortsbildschutzes (vgl. Margi nalie zu §46) verstehen. Auch die Begrifflichkeiten in den Sätzen1 und 3 des Absatzes ("keine neuen" bzw. "ausnahmsweise zusätzli che" Plakatflächen) stehen der einschränkenden Rechtsauffassung des Gemeinderats zumindest nicht entgegen. Dass die Materialien zur Gesetzgebung die restriktive Auffassung des Gemeinderats nicht zu stützen vermögen, spricht entgegen der Vorinstanz ebenfalls nicht gegen diese, da sie auch für eine liberalere Auslegung keine Belege bieten. 3.2.2. Die Gemeindeautonomie, auf welche sich der Beschwerdefüh rer II beruft, besteht allerdings nur in den Schranken des Bun desverfassungsrechts. Nicht in ihren Schutzbereich fällt demzufolge eine individuell konkrete Verfügung gestützt auf ein Auslegungser gebnis des kommunalen Rechts, welches die von der Beschwer deführerin angerufenen Wirtschaftsfreiheit (Art.27 BV) verletzt. Die Regelung des "Ersatzes" gemäss §46 Abs.3 Satz 2 BNO, welche an wendbar bleibt, kann mit anderen Worten nur durch mit der Wirt schaftsfreiheit vereinbare Baubewilligungsentscheide in verfassungs konformer Auslegung konkretisiert werden. 3.2.3. (…) Nach bundesgerichtlicher Rechtsprechung geht ein undifferen ziertes Verbot von Fremdreklamen zumindest auf privatem Grund über die im öffentlichen Interesse des Ortsbildschutzes erforderliche Beschränkung weit hinaus und ist unverhältnismässig (Urteil des Bundesgerichts vom 12. Mai 1998 [1P.122/1998], in: ZBl 2000, S.135ff., Erw.4b; vgl. BGE 128 I 3, Erw. 4b mit Hinweisen; vgl. auch AGVE 2007, S.152, wonach ein generelles, systematisches und undifferenziertes Verbot auf 95 % der Bauzonenfläche ein unverhält nismässiger Eingriff in die Wirtschaftsfreiheit darstellt). Zulässig ist dagegen etwa, wenn eine Gemeinde, um die Zahl der Reklamen aus ästhetischen Gründen in Grenzen zu halten, Fremdreklamen in schüt</w:t>
      </w:r>
    </w:p>
    <w:p>
      <w:r>
        <w:t>zenswerten Gebieten und Ortsteilen generell verbietet (BGE 128 I 3, Erw.4b; vgl. auch Urteil des Bundesgerichts vom 21. März 2007 [2P.247/2006], Erw. 3). 3.2.4 Zwar enthält §46 Abs.3 BNO insofern kein absolutes und flä chendeckendes Verbot von Fremdwerbungsplakatflächen, als zumin dest der Ersatz bestehender Plakatflächen gewährleistet bleibt. Die Beschwerdeführerin I musste aber unbestrittenermassen neben zwei freistehenden Plakatträgern ihre Plakatträger in den fünf früheren (neu erstellten und nun gläsernen) Buswartehäuschen demontieren und aufgeben. Folglich kommt die restriktive Auslegung des Gemeinderats, wonach §46 Abs.3 BNO nur Ersatz Plakatstellen am exakt gleichen Standort zulasse, für sie Ietztlich einem Verbot von ersatzweisen Fremdwerbungsträgern auf dem gesamten übrigen Ge meindegebiet gleich, welche wirtschaftlich die Funktion der entfern ten Flächen übernehmen könnten. Mit Recht weist die Beschwer deführerin I darauf hin, dass bei Wegfall bestehender Standorte (insbesondere zufolge Bautätigkeit bzw. Vertragskündigungen durch den Eigentümer) wie hier ein im Sinne des Gemeinderats verstande ner Ersatz ohne weitere Differenzierung ausgeschlossen erscheint. Zu Recht hält sie deshalb auch dafür, dass eine Handhabung von §46 Abs.3 Satz 2 BNO im Sinne des Gemeinderats zumindest langfristig geeignet erscheint, faktisch auf die Untersagung jeglicher Fremdwer bung auf dem Gemeindegebiet hinauszulaufen. Die Erwägungen des Gemeinderats (Erfordernis exakt gleichen Standorts) erweisen sich damit als zu absolut und die abweisenden Baubewilligungsent scheide ohne Prüfung der konkreten Fälle somit als unverhältnismäs sige Einschränkung der Wirtschaftsfreiheit. Seine Auslegung von §46 Abs.3 Satz 2 BNO hält zumindest dann den verfassungsmässi gen Anforderungen nicht stand, wenn das öffentliche Interesse am Schutz des bestehenden Orts und Strassenbilds am Ersatzstandort im Vergleich zur vorbestehenden Stelle ebenfalls gewahrt und die Be schränkung auf exakt denselben Standort dazu gar nicht erforderlich ist; oder wenn der Schutz des Orts und Strassenbilds in keinem ver nünftigen Verhältnis zur dazu notwendigen Freiheitsbeschränkung steht (Art.36 BV).</w:t>
      </w:r>
    </w:p>
    <w:p>
      <w:r>
        <w:t>(…) 3.3 3.3.1. Demgemäss hat die Vorinstanz im Ergebnis die Entscheide des Beschwerdeführers II betreffend Bauparzelle Nr. 217, Bauparzelle Nr. 993, Bauparzelle Nr. 618 zu Recht aufgehoben und die Verfahren an den Gemeinderat zu neuem Entscheid zurückgewiesen. Der Ge meinderat ist beim erneuten Entscheid und bei der Auslegung von §46 Abs.3 BNO an die Bundesverfassung und die Erwägungen des vorliegenden Urteils gebunden. Dabei erscheint ein Abweisungsent scheid dann als unverhältnismässige Einschränkung der Wirtschafts freiheit (Art.27 BV), wenn sich der abgewiesene Ersatzstandort nur als geringfügige örtliche Verschiebung erweist und sich die ortsbild bezogene Wirkung des Plakatträgers ob seiner Art, Grösse und Stel lung von jener des vorbestehenden nicht erheblich unterscheidet. Dies ist in Bezug auf die genannten drei Gesuche gemäss den überzeugenden Überlegungen der Vorinstanz offensichtlich der Fall. 3.3.2. Der angefochtene Entscheid ist auch insofern nicht zu beanstan den, als er den gemeinderätlichen Abweisungsentscheid zum Bauge such auf Parzelle Nr. 165 schützt, weil der quer zur Kantonsstrasse geplante Plakatträger über 300 m von der Landstrasse mit den aufge hobenen Standorten entfernt in einem eigenständig wahrgenomme nen Strassenraum liege. Es ist im konkreten Fall keinerlei verfas sungswidrige Beschränkung der Wirtschaftsfreiheit darin zu erken nen, dass für den Ersatzstandort ein verhältnismässiger örtlicher Be zug zum bisher bestehenden Plakatträger verlangt und der Ersatz nicht beliebig auf dem gesamten Gemeindegebiet zugelassen wird. In Bezug auf das Baugesuch auf Parzelle Nr. 1024 stellt die Vorinstanz massgeblich auf die Stellung des Plakatträgers zur Strassenrichtung ab und verneint das Vorliegen eines Ersatzes (der gleich grossen Plakatwand im nahe gelegenen früheren Buswarte häuschen), weil die Montage eines drei Meter näher an der Fahrbahn befindlichen (freistehenden) Plakatträgers neu quer zur Strasse ge plant sei. Es ist zwar grundsätzlich denkbar, dass die konkrete Stel lung zur Fahrbahn im Interesse des Ortsbildschutzes einen Eingriff in</w:t>
      </w:r>
    </w:p>
    <w:p>
      <w:r>
        <w:t>die Wirtschaftsfreiheit rechtfertigen und ausschlaggebend für den Abweisungsentscheid sein kann. Eine Beeinträchtigung des Strassen bilds in einem solchen Ausmass ist aber gestützt auf die Akten nicht ausreichend erkennbar. Indes obliegt es in erster Linie den örtlichen und mit den lokalen Verhältnissen vertrauten Behörden, über den ortsbildschützerischen Aspekt zu wachen. Somit ist dem Begehren der Beschwerdeführerin I insofern zu entsprechen, als der Gemeinde rat in nochmaliger Prüfung des Baugesuchs die ortsbildbezogene Wirkung des geplanten Plakatträgers zu beurteilen und zu erwägen hat, ob zur Wahrung des Ortsbildschutzes eine Einschränkung der Wirtschaftsfreiheit der Beschwerdeführerin I verhältnismässig er scheint. Nur dann erscheint eine Auslegung des Ersatzbegriffs im Sinne der Vorinstanz verfassungsmässig. 27 Mobilfunkantenne; ideelle Immissionen Standortbeschränkungen (Kaskadenmodell) finden einzig auf visuell wahrnehmbare Antennen Anwendung. Urteil des Verwaltungsgerichts, 3. Kammer, vom 1. Mai 2014 in Sachen Einwohnergemeinde A. gegen B. und Regierungsrat (WBE.2009.17). Aus den Erwägungen 3.3. §79a BNO lautet: "1 Für die Erstellung von Mobilfunkantennen, welche in der Umgebung als solche erkennbar sind, werden die Bauzonen in verschiedene Prioritäten eingeteilt. 2 Eine Mobilfunkantenne in Bauzonen, welche in der Umgebung als solche erkennbar ist, darf In erster Priorität in den Gewerbezonen G und in den Zonen für öffentliche Bauten entlang der Suhre,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