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WBE.2012.133 vom 14. November 2012</w:t>
      </w:r>
    </w:p>
    <w:p>
      <w:r>
        <w:t>AG Verwaltungsgericht, 2012-11-14, DE</w:t>
      </w:r>
    </w:p>
    <w:p>
      <w:r>
        <w:rPr>
          <w:b/>
        </w:rPr>
        <w:t xml:space="preserve">Quelle: </w:t>
      </w:r>
      <w:r>
        <w:t>https://mcp.opencaselaw.ch/entscheid/ag_verwaltungsgericht_WBE.2012.133</w:t>
      </w:r>
    </w:p>
    <w:p>
      <w:r>
        <w:t>FR: AG_VERWALTUNGSGERICHT WBE.2012.133 du 14 novembre 2012</w:t>
      </w:r>
    </w:p>
    <w:p>
      <w:r>
        <w:t>IT: AG_VERWALTUNGSGERICHT WBE.2012.133 del 14 novembre 2012</w:t>
      </w:r>
    </w:p>
    <w:p>
      <w:pPr>
        <w:pStyle w:val="Heading2"/>
      </w:pPr>
      <w:r>
        <w:t>Regeste</w:t>
      </w:r>
    </w:p>
    <w:p>
      <w:r>
        <w:t>Berufskostenabzug - Zulässigkeit von Pauschalierungen im Einkommenssteuerrecht als Massenfallrecht (Erw. 3.2) - Die Steuerbehörden dürfen für die Berechnung der Fahrzeiten auf einen einzigen Routenplaner (z. Z. Twixroute) abstellen (Erw. 3.3).</w:t>
      </w:r>
    </w:p>
    <w:p>
      <w:pPr>
        <w:pStyle w:val="Heading2"/>
      </w:pPr>
      <w:r>
        <w:t>Erwägungen</w:t>
      </w:r>
    </w:p>
    <w:p>
      <w:r>
        <w:rPr>
          <w:b/>
        </w:rPr>
        <w:t>E. 15</w:t>
      </w:r>
    </w:p>
    <w:p>
      <w:r>
        <w:t>Abzug behinderungsbedingte Kosten Abzugsfähigkeit der Kosten eines Hörgeräts als behinderungsbedingte Kosten? Urteil des Verwaltungsgerichts, 2. Kammer, vom 21. Juni 2012 in Sachen P.T. und E.T. (WBE.2011.384). Aus den Erwägungen 2. (…) 2.1. Soweit sich den Akten und den Ausführungen des Beschwerde- führers entnehmen lässt, hat er vor geraumer Zeit im Militärdienst eine Schädigung seines Gehörs erlitten, die Anlass für die Ausrich- tung von Leistungen gemäss Art. 21 MVG gibt. Wie aus einer eben- falls in den Akten liegenden Rechnung der Hörberatung X. hervor- geht, hat er im Jahr 2006 zwei Hörgeräte der Marke Y. mit einem Gesamtpreis von Fr. 6'115.00 erworben. Gemäss der Rechnung hat die Militärversicherung davon Fr. 3'690.00 übernommen. Insgesamt hatte der Beschwerdeführer damit (nach Abzug eines Skontos von 2% und unter Berücksichtigung der Mehrwertsteuer und zusätzlich bezogenen Zubehörs) einen Betrag von Fr. 2'595.10 zu bezahlen. 2.2. Gemäss Art. 21 Abs. 1 lit. a - g MVG hat der Versicherte für verschiedene Zwecke (u.a. für die Verbesserung seines Gesundheits- zustands, für die Ausübung einer Erwerbstätigkeit oder für die Tätig- keit in seinem Aufgabenbereich, für den Kontakt zur Umwelt, etc.) Anspruch auf Hilfsmittel. Wird den Angaben des Beschwerdeführers gefolgt, so handelt es sich bei den Fr. 3'690.00 um in Anwendung von Art. 21 Abs. 1 lit. b und g in Verbindung mit Abs. 2 MVG geleistete Amortisationsbeiträge. Aus Art. 21 Abs. 2 MVG ergibt sich, dass die Militärversicherung Hilfsmittel abgibt bzw. Amortisa-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