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WBE.2011.57 vom 7. September 1923</w:t>
      </w:r>
    </w:p>
    <w:p>
      <w:r>
        <w:t>AG Verwaltungsgericht, 1923-09-07, DE</w:t>
      </w:r>
    </w:p>
    <w:p>
      <w:r>
        <w:rPr>
          <w:b/>
        </w:rPr>
        <w:t xml:space="preserve">Quelle: </w:t>
      </w:r>
      <w:r>
        <w:t>https://mcp.opencaselaw.ch/entscheid/ag_verwaltungsgericht_WBE.2011.57</w:t>
      </w:r>
    </w:p>
    <w:p>
      <w:r>
        <w:t>FR: AG_VERWALTUNGSGERICHT WBE.2011.57 du 7 septembre 1923</w:t>
      </w:r>
    </w:p>
    <w:p>
      <w:r>
        <w:t>IT: AG_VERWALTUNGSGERICHT WBE.2011.57 del 7 settembre 1923</w:t>
      </w:r>
    </w:p>
    <w:p>
      <w:pPr>
        <w:pStyle w:val="Heading2"/>
      </w:pPr>
      <w:r>
        <w:t>Regeste</w:t>
      </w:r>
    </w:p>
    <w:p>
      <w:r>
        <w:t>Normenkontrolle Einschränkungen bei der vorfrageweisen Überprüfung von Nutzungsplänen; Bestätigung der Rechtsprechung gemäss AGVE 1999, S. 285 ff.</w:t>
      </w:r>
    </w:p>
    <w:p>
      <w:pPr>
        <w:pStyle w:val="Heading2"/>
      </w:pPr>
      <w:r>
        <w:t>Volltext</w:t>
      </w:r>
    </w:p>
    <w:p>
      <w:r>
        <w:t>148 Verwaltungsgericht 2011 7. September 1923 sowie vom 13. April 1934 kann abgeleitet wer- den, dass der Kirchweg schon vor sehr langer Zeit dem Gemeinge- brauch (wenn auch in beschränktem Mass) zugänglich gemacht wurde (vgl. die Praxis des Departements Bau, Verkehr und Umwelt in AGVE 2006, S. 481 ff., wonach dies zur Qualifizierung als öf- fentliche Strasse genügt). Die Widmung erfolgte spätestens mit dem Eintrag ins Grundbuch bzw. mit der Anmerkung des Fusswegrechts zu Gunsten der Öffentlichkeit. Die Widmung ist nicht an eine be- stimmte Form gebunden; es genügt der irgendwie erkennbare Wille der Verwaltung, eine öffentliche Strasse zu schaffen (Erich Zimmerlin, Baugesetz des Kantons Aargau vom 2. Februar 1971, Kommentar, 2. Auflage, Aarau 1985, § 11 N 2). Mit dem Eintrag ins Grundbuch wurde dieser Wille rechtsgenüglich kundgetan. Insofern handelt es sich beim Kirchweg um eine öffentliche Strasse. Daran vermag auch der Umstand, dass die Gemeinde den Kirchweg nicht zu übernehmen beabsichtigt und weder die Reinigung noch den Winterdienst übernimmt, nichts zu ändern. 39 Normenkontrolle Einschränkungen bei der vorfrageweisen Überprüfung von Nutzungsplä- nen; Bestätigung der Rechtsprechung gemäss AGVE 1999, S. 285 ff. Urteil des Verwaltungsgerichts, 3. Kammer, vom 15. Dezember 2011 in Sachen A. und B. gegen C. AG (WBE.2011.57).</w:t>
      </w:r>
    </w:p>
    <w:p>
      <w:r>
        <w:t>2011 Submissionen 149 III. Submissionen</w:t>
      </w:r>
    </w:p>
    <w:p>
      <w:r>
        <w:t>40 Eventualpositionen; "Per-Positionen" Fehlt in den Ausschreibungsunterlagen der klare Hinweis, dass die zu of- ferierenden Preise für die Eventualpositionen in die Gesamtpreissumme einbezogen und somit bewertet werden, stellt die nachträgliche Berück- sichtigung im Rahmen der Bereinigung der Angebote eine unzulässige Änderung der "Spielregeln" des Verfahrens dar und verstösst gegen das Transparenzverbot. Urteil des Verwaltungsgerichts, 3. Kammer, vom 19. Mai 2011 in Sachen A. AG gegen Einwohnergemeinde B. (WBE.2011.54). Aus den Erwägungen 3. 3.1. Eventualpositionen umschreiben einzelne zusätzliche, aber bloss mögliche Leistungen, wobei sie in der Regel auch die zugehö- rige Vergütung bestimmen und häufig die voraussichtliche Menge angeben (Rainer Schumacher, in: Peter Gauch [Hrsg.], Kommentar zur SIA-Norm 118 Art. 38-156, Zürich 1992, Art. 102 Rz. 1; Roland Hürlimann / Hans Heer, Preise, Leistungsverzeichnis und Kalkula- tion, S. 11, in: Baurechtstagung 1999, Tagungsunterlage 1, hrsg. vom Institut für Schweizerisches und Internationales Baurecht). Zu den Eventualpositionen zählen insbesondere auch die sogenannten "Per- Positionen", bei denen die Bieter zwar bestimmte Einheitspreise offerieren sollen, für deren Leistungen das Leistungsverzeichnis des Auftraggebers aber keine Menge angibt und die daher regelmässig nicht in die bewertungsgegenständliche provisorische Gesamtver- gütung einfliessen (Martin Beyeler, Umgelagert, gemischt und offe- riert – Thesen zur Preisspekulation, in: Schweizerische Baurechtsta-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